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overflowPunct w:val="0"/>
        <w:topLinePunct/>
        <w:rPr>
          <w:rFonts w:hint="default" w:ascii="Nimbus Roman" w:hAnsi="Nimbus Roman" w:eastAsia="黑体" w:cs="Nimbus Roman"/>
          <w:sz w:val="32"/>
          <w:szCs w:val="32"/>
          <w:lang w:val="en-US" w:eastAsia="zh-CN"/>
        </w:rPr>
      </w:pPr>
      <w:r>
        <w:rPr>
          <w:rFonts w:hint="default" w:ascii="Nimbus Roman" w:hAnsi="Nimbus Roman" w:eastAsia="黑体" w:cs="Nimbus Roman"/>
          <w:sz w:val="32"/>
          <w:szCs w:val="32"/>
        </w:rPr>
        <w:t>附件</w:t>
      </w:r>
      <w:r>
        <w:rPr>
          <w:rFonts w:hint="default" w:ascii="Nimbus Roman" w:hAnsi="Nimbus Roman" w:eastAsia="黑体" w:cs="Nimbus Roman"/>
          <w:sz w:val="32"/>
          <w:szCs w:val="32"/>
          <w:lang w:val="en-US" w:eastAsia="zh-CN"/>
        </w:rPr>
        <w:t>一</w:t>
      </w:r>
    </w:p>
    <w:p>
      <w:pPr>
        <w:overflowPunct w:val="0"/>
        <w:topLinePunct/>
        <w:jc w:val="center"/>
        <w:rPr>
          <w:rFonts w:hint="default" w:ascii="Nimbus Roman" w:hAnsi="Nimbus Roman" w:eastAsia="方正小标宋_GBK" w:cs="Nimbus Roman"/>
          <w:color w:val="000000"/>
          <w:sz w:val="32"/>
          <w:szCs w:val="32"/>
        </w:rPr>
      </w:pP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40" w:lineRule="exact"/>
        <w:ind w:right="0" w:rightChars="0"/>
        <w:jc w:val="center"/>
        <w:textAlignment w:val="auto"/>
        <w:rPr>
          <w:rFonts w:hint="default" w:ascii="Nimbus Roman" w:hAnsi="Nimbus Roman" w:eastAsia="方正小标宋_GBK" w:cs="Nimbus Roman"/>
          <w:b w:val="0"/>
          <w:bCs w:val="0"/>
          <w:color w:val="000000"/>
          <w:sz w:val="44"/>
          <w:szCs w:val="44"/>
        </w:rPr>
      </w:pPr>
      <w:r>
        <w:rPr>
          <w:rFonts w:hint="default" w:ascii="Nimbus Roman" w:hAnsi="Nimbus Roman" w:eastAsia="方正小标宋_GBK" w:cs="Nimbus Roman"/>
          <w:b w:val="0"/>
          <w:bCs w:val="0"/>
          <w:color w:val="000000"/>
          <w:sz w:val="44"/>
          <w:szCs w:val="44"/>
        </w:rPr>
        <w:t>关于向社会公开征求</w:t>
      </w:r>
      <w:r>
        <w:rPr>
          <w:rFonts w:hint="default" w:ascii="Nimbus Roman" w:hAnsi="Nimbus Roman" w:eastAsia="方正小标宋_GBK" w:cs="Nimbus Roman"/>
          <w:i w:val="0"/>
          <w:iCs w:val="0"/>
          <w:caps w:val="0"/>
          <w:color w:val="333333"/>
          <w:spacing w:val="0"/>
          <w:sz w:val="39"/>
          <w:szCs w:val="39"/>
          <w:shd w:val="clear" w:color="auto" w:fill="FFFFFF"/>
        </w:rPr>
        <w:t>《高宝邵伯湖渔业管理规定》</w:t>
      </w:r>
      <w:r>
        <w:rPr>
          <w:rFonts w:hint="default" w:ascii="Nimbus Roman" w:hAnsi="Nimbus Roman" w:eastAsia="方正小标宋_GBK" w:cs="Nimbus Roman"/>
          <w:i w:val="0"/>
          <w:iCs w:val="0"/>
          <w:caps w:val="0"/>
          <w:color w:val="333333"/>
          <w:spacing w:val="0"/>
          <w:sz w:val="39"/>
          <w:szCs w:val="39"/>
          <w:shd w:val="clear" w:color="auto" w:fill="FFFFFF"/>
          <w:lang w:val="en-US" w:eastAsia="zh-CN"/>
        </w:rPr>
        <w:t>修改</w:t>
      </w:r>
      <w:r>
        <w:rPr>
          <w:rFonts w:hint="default" w:ascii="Nimbus Roman" w:hAnsi="Nimbus Roman" w:eastAsia="方正小标宋_GBK" w:cs="Nimbus Roman"/>
          <w:i w:val="0"/>
          <w:iCs w:val="0"/>
          <w:caps w:val="0"/>
          <w:color w:val="333333"/>
          <w:spacing w:val="0"/>
          <w:sz w:val="39"/>
          <w:szCs w:val="39"/>
          <w:shd w:val="clear" w:color="auto" w:fill="FFFFFF"/>
        </w:rPr>
        <w:t>意见</w:t>
      </w:r>
      <w:r>
        <w:rPr>
          <w:rFonts w:hint="default" w:ascii="Nimbus Roman" w:hAnsi="Nimbus Roman" w:eastAsia="方正小标宋_GBK" w:cs="Nimbus Roman"/>
          <w:b w:val="0"/>
          <w:bCs w:val="0"/>
          <w:color w:val="000000"/>
          <w:sz w:val="44"/>
          <w:szCs w:val="44"/>
        </w:rPr>
        <w:t>的说明</w:t>
      </w:r>
    </w:p>
    <w:p>
      <w:pPr>
        <w:overflowPunct w:val="0"/>
        <w:topLinePunct/>
        <w:jc w:val="center"/>
        <w:rPr>
          <w:rFonts w:hint="default" w:ascii="Nimbus Roman" w:hAnsi="Nimbus Roman" w:eastAsia="楷体" w:cs="Nimbus Roman"/>
          <w:bCs/>
          <w:color w:val="000000"/>
          <w:kern w:val="0"/>
          <w:szCs w:val="21"/>
        </w:rPr>
      </w:pPr>
    </w:p>
    <w:p>
      <w:pPr>
        <w:overflowPunct w:val="0"/>
        <w:topLinePunct/>
        <w:spacing w:line="560" w:lineRule="exact"/>
        <w:jc w:val="center"/>
        <w:rPr>
          <w:rFonts w:hint="default" w:ascii="Nimbus Roman" w:hAnsi="Nimbus Roman" w:eastAsia="楷体" w:cs="Nimbus Roman"/>
          <w:bCs/>
          <w:color w:val="000000"/>
          <w:kern w:val="0"/>
          <w:sz w:val="32"/>
          <w:szCs w:val="32"/>
        </w:rPr>
      </w:pPr>
      <w:r>
        <w:rPr>
          <w:rFonts w:hint="default" w:ascii="Nimbus Roman" w:hAnsi="Nimbus Roman" w:eastAsia="楷体" w:cs="Nimbus Roman"/>
          <w:bCs/>
          <w:color w:val="000000"/>
          <w:kern w:val="0"/>
          <w:sz w:val="32"/>
          <w:szCs w:val="32"/>
        </w:rPr>
        <w:t>江苏省</w:t>
      </w:r>
      <w:r>
        <w:rPr>
          <w:rFonts w:hint="default" w:ascii="Nimbus Roman" w:hAnsi="Nimbus Roman" w:eastAsia="楷体" w:cs="Nimbus Roman"/>
          <w:bCs/>
          <w:color w:val="000000"/>
          <w:kern w:val="0"/>
          <w:sz w:val="32"/>
          <w:szCs w:val="32"/>
          <w:lang w:val="en-US" w:eastAsia="zh-CN"/>
        </w:rPr>
        <w:t>高宝邵伯湖</w:t>
      </w:r>
      <w:r>
        <w:rPr>
          <w:rFonts w:hint="default" w:ascii="Nimbus Roman" w:hAnsi="Nimbus Roman" w:eastAsia="楷体" w:cs="Nimbus Roman"/>
          <w:bCs/>
          <w:color w:val="000000"/>
          <w:kern w:val="0"/>
          <w:sz w:val="32"/>
          <w:szCs w:val="32"/>
        </w:rPr>
        <w:t>渔业管理委员会办公室</w:t>
      </w:r>
    </w:p>
    <w:p>
      <w:pPr>
        <w:overflowPunct w:val="0"/>
        <w:topLinePunct/>
        <w:spacing w:line="560" w:lineRule="exact"/>
        <w:jc w:val="center"/>
        <w:rPr>
          <w:rFonts w:hint="default" w:ascii="Nimbus Roman" w:hAnsi="Nimbus Roman" w:eastAsia="楷体" w:cs="Nimbus Roman"/>
          <w:bCs/>
          <w:color w:val="000000"/>
          <w:kern w:val="0"/>
          <w:szCs w:val="21"/>
        </w:rPr>
      </w:pPr>
    </w:p>
    <w:p>
      <w:pPr>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eastAsia" w:ascii="方正仿宋_GBK" w:hAnsi="方正仿宋_GBK" w:eastAsia="方正仿宋_GBK" w:cs="方正仿宋_GBK"/>
          <w:kern w:val="0"/>
          <w:sz w:val="32"/>
          <w:szCs w:val="32"/>
          <w:lang w:bidi="ar"/>
        </w:rPr>
      </w:pPr>
      <w:r>
        <w:rPr>
          <w:rFonts w:hint="eastAsia" w:ascii="方正仿宋_GBK" w:hAnsi="方正仿宋_GBK" w:eastAsia="方正仿宋_GBK" w:cs="方正仿宋_GBK"/>
          <w:kern w:val="0"/>
          <w:sz w:val="32"/>
          <w:szCs w:val="32"/>
          <w:lang w:bidi="ar"/>
        </w:rPr>
        <w:t>为保护</w:t>
      </w:r>
      <w:r>
        <w:rPr>
          <w:rFonts w:hint="eastAsia" w:ascii="方正仿宋_GBK" w:hAnsi="方正仿宋_GBK" w:eastAsia="方正仿宋_GBK" w:cs="方正仿宋_GBK"/>
          <w:kern w:val="0"/>
          <w:sz w:val="32"/>
          <w:szCs w:val="32"/>
          <w:lang w:eastAsia="zh-CN" w:bidi="ar"/>
        </w:rPr>
        <w:t>高宝邵伯湖</w:t>
      </w:r>
      <w:r>
        <w:rPr>
          <w:rFonts w:hint="eastAsia" w:ascii="方正仿宋_GBK" w:hAnsi="方正仿宋_GBK" w:eastAsia="方正仿宋_GBK" w:cs="方正仿宋_GBK"/>
          <w:kern w:val="0"/>
          <w:sz w:val="32"/>
          <w:szCs w:val="32"/>
          <w:lang w:bidi="ar"/>
        </w:rPr>
        <w:t>渔业资源，促进湖区渔业可持续发展，原江苏省海洋与渔业局</w:t>
      </w:r>
      <w:r>
        <w:rPr>
          <w:rFonts w:hint="eastAsia" w:ascii="方正仿宋_GBK" w:hAnsi="方正仿宋_GBK" w:eastAsia="方正仿宋_GBK" w:cs="方正仿宋_GBK"/>
          <w:kern w:val="0"/>
          <w:sz w:val="32"/>
          <w:szCs w:val="32"/>
          <w:lang w:eastAsia="zh-CN" w:bidi="ar"/>
        </w:rPr>
        <w:t>、</w:t>
      </w:r>
      <w:r>
        <w:rPr>
          <w:rFonts w:hint="eastAsia" w:ascii="方正仿宋_GBK" w:hAnsi="方正仿宋_GBK" w:eastAsia="方正仿宋_GBK" w:cs="方正仿宋_GBK"/>
          <w:kern w:val="0"/>
          <w:sz w:val="32"/>
          <w:szCs w:val="32"/>
          <w:lang w:bidi="ar"/>
        </w:rPr>
        <w:t>安徽省农业委员会</w:t>
      </w:r>
      <w:r>
        <w:rPr>
          <w:rFonts w:hint="eastAsia" w:ascii="方正仿宋_GBK" w:hAnsi="方正仿宋_GBK" w:eastAsia="方正仿宋_GBK" w:cs="方正仿宋_GBK"/>
          <w:kern w:val="0"/>
          <w:sz w:val="32"/>
          <w:szCs w:val="32"/>
          <w:lang w:val="en-US" w:eastAsia="zh-CN" w:bidi="ar"/>
        </w:rPr>
        <w:t>于2015年</w:t>
      </w:r>
      <w:r>
        <w:rPr>
          <w:rFonts w:hint="eastAsia" w:ascii="方正仿宋_GBK" w:hAnsi="方正仿宋_GBK" w:eastAsia="方正仿宋_GBK" w:cs="方正仿宋_GBK"/>
          <w:kern w:val="0"/>
          <w:sz w:val="32"/>
          <w:szCs w:val="32"/>
          <w:lang w:bidi="ar"/>
        </w:rPr>
        <w:t>联合印发</w:t>
      </w:r>
      <w:r>
        <w:rPr>
          <w:rFonts w:hint="eastAsia" w:ascii="方正仿宋_GBK" w:hAnsi="方正仿宋_GBK" w:eastAsia="方正仿宋_GBK" w:cs="方正仿宋_GBK"/>
          <w:kern w:val="0"/>
          <w:sz w:val="32"/>
          <w:szCs w:val="32"/>
          <w:lang w:eastAsia="zh-CN" w:bidi="ar"/>
        </w:rPr>
        <w:t>了</w:t>
      </w:r>
      <w:r>
        <w:rPr>
          <w:rFonts w:hint="eastAsia" w:ascii="方正仿宋_GBK" w:hAnsi="方正仿宋_GBK" w:eastAsia="方正仿宋_GBK" w:cs="方正仿宋_GBK"/>
          <w:kern w:val="0"/>
          <w:sz w:val="32"/>
          <w:szCs w:val="32"/>
          <w:lang w:bidi="ar"/>
        </w:rPr>
        <w:t>《高宝邵伯湖渔业管理规定》（苏海规【2015】4号</w:t>
      </w:r>
      <w:r>
        <w:rPr>
          <w:rFonts w:hint="eastAsia" w:ascii="方正仿宋_GBK" w:hAnsi="方正仿宋_GBK" w:eastAsia="方正仿宋_GBK" w:cs="方正仿宋_GBK"/>
          <w:kern w:val="0"/>
          <w:sz w:val="32"/>
          <w:szCs w:val="32"/>
          <w:lang w:eastAsia="zh-CN" w:bidi="ar"/>
        </w:rPr>
        <w:t>，以下简称《规定》</w:t>
      </w:r>
      <w:r>
        <w:rPr>
          <w:rFonts w:hint="eastAsia" w:ascii="方正仿宋_GBK" w:hAnsi="方正仿宋_GBK" w:eastAsia="方正仿宋_GBK" w:cs="方正仿宋_GBK"/>
          <w:kern w:val="0"/>
          <w:sz w:val="32"/>
          <w:szCs w:val="32"/>
          <w:lang w:bidi="ar"/>
        </w:rPr>
        <w:t>）。</w:t>
      </w:r>
      <w:r>
        <w:rPr>
          <w:rFonts w:hint="eastAsia" w:ascii="方正仿宋_GBK" w:hAnsi="方正仿宋_GBK" w:eastAsia="方正仿宋_GBK" w:cs="方正仿宋_GBK"/>
          <w:kern w:val="0"/>
          <w:sz w:val="32"/>
          <w:szCs w:val="32"/>
          <w:lang w:val="en-US" w:eastAsia="zh-CN" w:bidi="ar"/>
        </w:rPr>
        <w:t>上述规范性文件出台后，</w:t>
      </w:r>
      <w:r>
        <w:rPr>
          <w:rFonts w:hint="eastAsia" w:ascii="方正仿宋_GBK" w:hAnsi="方正仿宋_GBK" w:eastAsia="方正仿宋_GBK" w:cs="方正仿宋_GBK"/>
          <w:kern w:val="0"/>
          <w:sz w:val="32"/>
          <w:szCs w:val="32"/>
          <w:lang w:bidi="ar"/>
        </w:rPr>
        <w:t>对</w:t>
      </w:r>
      <w:r>
        <w:rPr>
          <w:rFonts w:hint="eastAsia" w:ascii="方正仿宋_GBK" w:hAnsi="方正仿宋_GBK" w:eastAsia="方正仿宋_GBK" w:cs="方正仿宋_GBK"/>
          <w:kern w:val="0"/>
          <w:sz w:val="32"/>
          <w:szCs w:val="32"/>
          <w:lang w:eastAsia="zh-CN" w:bidi="ar"/>
        </w:rPr>
        <w:t>高宝邵伯湖</w:t>
      </w:r>
      <w:r>
        <w:rPr>
          <w:rFonts w:hint="eastAsia" w:ascii="方正仿宋_GBK" w:hAnsi="方正仿宋_GBK" w:eastAsia="方正仿宋_GBK" w:cs="方正仿宋_GBK"/>
          <w:kern w:val="0"/>
          <w:sz w:val="32"/>
          <w:szCs w:val="32"/>
          <w:lang w:bidi="ar"/>
        </w:rPr>
        <w:t>渔业管理与资源保护起到了积极作用，有效维护了沿湖渔民合法权益。但随着</w:t>
      </w:r>
      <w:r>
        <w:rPr>
          <w:rFonts w:hint="eastAsia" w:ascii="方正仿宋_GBK" w:hAnsi="方正仿宋_GBK" w:eastAsia="方正仿宋_GBK" w:cs="方正仿宋_GBK"/>
          <w:kern w:val="0"/>
          <w:sz w:val="32"/>
          <w:szCs w:val="32"/>
          <w:lang w:val="en-US" w:eastAsia="zh-CN" w:bidi="ar"/>
        </w:rPr>
        <w:t>2020年10月高宝邵伯湖全面退捕，</w:t>
      </w:r>
      <w:r>
        <w:rPr>
          <w:rFonts w:hint="eastAsia" w:ascii="方正仿宋_GBK" w:hAnsi="方正仿宋_GBK" w:eastAsia="方正仿宋_GBK" w:cs="方正仿宋_GBK"/>
          <w:kern w:val="0"/>
          <w:sz w:val="32"/>
          <w:szCs w:val="32"/>
          <w:lang w:bidi="ar"/>
        </w:rPr>
        <w:t>湖区渔业管理</w:t>
      </w:r>
      <w:r>
        <w:rPr>
          <w:rFonts w:hint="eastAsia" w:ascii="方正仿宋_GBK" w:hAnsi="方正仿宋_GBK" w:eastAsia="方正仿宋_GBK" w:cs="方正仿宋_GBK"/>
          <w:kern w:val="0"/>
          <w:sz w:val="32"/>
          <w:szCs w:val="32"/>
          <w:lang w:eastAsia="zh-CN" w:bidi="ar"/>
        </w:rPr>
        <w:t>形势发生了重大变化，</w:t>
      </w:r>
      <w:r>
        <w:rPr>
          <w:rFonts w:hint="eastAsia" w:ascii="方正仿宋_GBK" w:hAnsi="方正仿宋_GBK" w:eastAsia="方正仿宋_GBK" w:cs="方正仿宋_GBK"/>
          <w:kern w:val="0"/>
          <w:sz w:val="32"/>
          <w:szCs w:val="32"/>
          <w:lang w:val="en-US" w:eastAsia="zh-CN" w:bidi="ar"/>
        </w:rPr>
        <w:t>该规范性文件部分条款已</w:t>
      </w:r>
      <w:r>
        <w:rPr>
          <w:rFonts w:hint="eastAsia" w:ascii="方正仿宋_GBK" w:hAnsi="方正仿宋_GBK" w:eastAsia="方正仿宋_GBK" w:cs="方正仿宋_GBK"/>
          <w:kern w:val="0"/>
          <w:sz w:val="32"/>
          <w:szCs w:val="32"/>
          <w:lang w:bidi="ar"/>
        </w:rPr>
        <w:t>无法适</w:t>
      </w:r>
      <w:r>
        <w:rPr>
          <w:rFonts w:hint="eastAsia" w:ascii="方正仿宋_GBK" w:hAnsi="方正仿宋_GBK" w:eastAsia="方正仿宋_GBK" w:cs="方正仿宋_GBK"/>
          <w:kern w:val="0"/>
          <w:sz w:val="32"/>
          <w:szCs w:val="32"/>
          <w:lang w:eastAsia="zh-CN" w:bidi="ar"/>
        </w:rPr>
        <w:t>用于</w:t>
      </w:r>
      <w:r>
        <w:rPr>
          <w:rFonts w:hint="eastAsia" w:ascii="方正仿宋_GBK" w:hAnsi="方正仿宋_GBK" w:eastAsia="方正仿宋_GBK" w:cs="方正仿宋_GBK"/>
          <w:kern w:val="0"/>
          <w:sz w:val="32"/>
          <w:szCs w:val="32"/>
          <w:lang w:val="en-US" w:eastAsia="zh-CN" w:bidi="ar"/>
        </w:rPr>
        <w:t>当前</w:t>
      </w:r>
      <w:r>
        <w:rPr>
          <w:rFonts w:hint="eastAsia" w:ascii="方正仿宋_GBK" w:hAnsi="方正仿宋_GBK" w:eastAsia="方正仿宋_GBK" w:cs="方正仿宋_GBK"/>
          <w:kern w:val="0"/>
          <w:sz w:val="32"/>
          <w:szCs w:val="32"/>
          <w:lang w:bidi="ar"/>
        </w:rPr>
        <w:t>的管理需要，</w:t>
      </w:r>
      <w:r>
        <w:rPr>
          <w:rFonts w:hint="eastAsia" w:ascii="方正仿宋_GBK" w:hAnsi="方正仿宋_GBK" w:eastAsia="方正仿宋_GBK" w:cs="方正仿宋_GBK"/>
          <w:kern w:val="0"/>
          <w:sz w:val="32"/>
          <w:szCs w:val="32"/>
          <w:lang w:eastAsia="zh-CN" w:bidi="ar"/>
        </w:rPr>
        <w:t>拟</w:t>
      </w:r>
      <w:r>
        <w:rPr>
          <w:rFonts w:hint="eastAsia" w:ascii="方正仿宋_GBK" w:hAnsi="方正仿宋_GBK" w:eastAsia="方正仿宋_GBK" w:cs="方正仿宋_GBK"/>
          <w:kern w:val="0"/>
          <w:sz w:val="32"/>
          <w:szCs w:val="32"/>
          <w:lang w:val="en-US" w:eastAsia="zh-CN" w:bidi="ar"/>
        </w:rPr>
        <w:t>进行修订，</w:t>
      </w:r>
      <w:r>
        <w:rPr>
          <w:rFonts w:hint="eastAsia" w:ascii="方正仿宋_GBK" w:hAnsi="方正仿宋_GBK" w:eastAsia="方正仿宋_GBK" w:cs="方正仿宋_GBK"/>
          <w:kern w:val="0"/>
          <w:sz w:val="32"/>
          <w:szCs w:val="32"/>
          <w:lang w:bidi="ar"/>
        </w:rPr>
        <w:t>现说明如下：</w:t>
      </w:r>
    </w:p>
    <w:p>
      <w:pPr>
        <w:keepNext w:val="0"/>
        <w:keepLines w:val="0"/>
        <w:pageBreakBefore w:val="0"/>
        <w:widowControl w:val="0"/>
        <w:kinsoku/>
        <w:wordWrap/>
        <w:overflowPunct w:val="0"/>
        <w:topLinePunct/>
        <w:autoSpaceDE/>
        <w:autoSpaceDN/>
        <w:bidi w:val="0"/>
        <w:adjustRightInd w:val="0"/>
        <w:snapToGrid/>
        <w:spacing w:line="560" w:lineRule="exact"/>
        <w:textAlignment w:val="auto"/>
        <w:rPr>
          <w:rFonts w:hint="eastAsia" w:ascii="方正仿宋_GBK" w:hAnsi="方正仿宋_GBK" w:eastAsia="方正仿宋_GBK" w:cs="方正仿宋_GBK"/>
          <w:kern w:val="0"/>
          <w:sz w:val="32"/>
          <w:szCs w:val="32"/>
          <w:lang w:val="en-US" w:eastAsia="zh-CN" w:bidi="ar"/>
        </w:rPr>
      </w:pPr>
      <w:r>
        <w:rPr>
          <w:rFonts w:hint="eastAsia" w:ascii="方正仿宋_GBK" w:hAnsi="方正仿宋_GBK" w:eastAsia="方正仿宋_GBK" w:cs="方正仿宋_GBK"/>
          <w:kern w:val="0"/>
          <w:sz w:val="32"/>
          <w:szCs w:val="32"/>
          <w:lang w:val="en-US" w:eastAsia="zh-CN" w:bidi="ar"/>
        </w:rPr>
        <w:t xml:space="preserve">    </w:t>
      </w:r>
      <w:r>
        <w:rPr>
          <w:rFonts w:hint="eastAsia" w:ascii="方正黑体_GBK" w:hAnsi="方正黑体_GBK" w:eastAsia="方正黑体_GBK" w:cs="方正黑体_GBK"/>
          <w:kern w:val="0"/>
          <w:sz w:val="32"/>
          <w:szCs w:val="32"/>
          <w:lang w:val="en-US" w:eastAsia="zh-CN" w:bidi="ar"/>
        </w:rPr>
        <w:t>一、修订的必要性</w:t>
      </w:r>
    </w:p>
    <w:p>
      <w:pPr>
        <w:tabs>
          <w:tab w:val="left" w:pos="720"/>
        </w:tabs>
        <w:ind w:firstLine="628" w:firstLineChars="200"/>
        <w:rPr>
          <w:rFonts w:hint="eastAsia" w:ascii="方正仿宋_GBK" w:hAnsi="方正仿宋_GBK" w:eastAsia="方正仿宋_GBK" w:cs="方正仿宋_GBK"/>
          <w:color w:val="000000"/>
          <w:sz w:val="32"/>
          <w:szCs w:val="32"/>
          <w:lang w:eastAsia="zh-CN"/>
        </w:rPr>
      </w:pPr>
      <w:r>
        <w:rPr>
          <w:rFonts w:hint="eastAsia" w:ascii="方正楷体_GBK" w:hAnsi="方正楷体_GBK" w:eastAsia="方正楷体_GBK" w:cs="方正楷体_GBK"/>
          <w:b w:val="0"/>
          <w:bCs w:val="0"/>
          <w:color w:val="000000"/>
          <w:sz w:val="32"/>
          <w:szCs w:val="32"/>
        </w:rPr>
        <w:t>1.规范性文件需要定期修订</w:t>
      </w:r>
      <w:r>
        <w:rPr>
          <w:rFonts w:hint="eastAsia" w:ascii="方正楷体_GBK" w:hAnsi="方正楷体_GBK" w:eastAsia="方正楷体_GBK" w:cs="方正楷体_GBK"/>
          <w:b w:val="0"/>
          <w:bCs w:val="0"/>
          <w:color w:val="000000"/>
          <w:sz w:val="32"/>
          <w:szCs w:val="32"/>
          <w:lang w:eastAsia="zh-CN"/>
        </w:rPr>
        <w:t>。</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规定</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于2015年</w:t>
      </w:r>
      <w:r>
        <w:rPr>
          <w:rFonts w:hint="eastAsia" w:ascii="方正仿宋_GBK" w:hAnsi="方正仿宋_GBK" w:eastAsia="方正仿宋_GBK" w:cs="方正仿宋_GBK"/>
          <w:color w:val="000000"/>
          <w:sz w:val="32"/>
          <w:szCs w:val="32"/>
          <w:lang w:val="en-US" w:eastAsia="zh-CN"/>
        </w:rPr>
        <w:t>6</w:t>
      </w:r>
      <w:r>
        <w:rPr>
          <w:rFonts w:hint="eastAsia" w:ascii="方正仿宋_GBK" w:hAnsi="方正仿宋_GBK" w:eastAsia="方正仿宋_GBK" w:cs="方正仿宋_GBK"/>
          <w:color w:val="000000"/>
          <w:sz w:val="32"/>
          <w:szCs w:val="32"/>
        </w:rPr>
        <w:t>月</w:t>
      </w:r>
      <w:r>
        <w:rPr>
          <w:rFonts w:hint="eastAsia" w:ascii="方正仿宋_GBK" w:hAnsi="方正仿宋_GBK" w:eastAsia="方正仿宋_GBK" w:cs="方正仿宋_GBK"/>
          <w:color w:val="000000"/>
          <w:sz w:val="32"/>
          <w:szCs w:val="32"/>
          <w:lang w:val="en-US" w:eastAsia="zh-CN"/>
        </w:rPr>
        <w:t>15</w:t>
      </w:r>
      <w:r>
        <w:rPr>
          <w:rFonts w:hint="eastAsia" w:ascii="方正仿宋_GBK" w:hAnsi="方正仿宋_GBK" w:eastAsia="方正仿宋_GBK" w:cs="方正仿宋_GBK"/>
          <w:color w:val="000000"/>
          <w:sz w:val="32"/>
          <w:szCs w:val="32"/>
        </w:rPr>
        <w:t>日发布，</w:t>
      </w:r>
      <w:r>
        <w:rPr>
          <w:rFonts w:hint="eastAsia" w:ascii="方正仿宋_GBK" w:hAnsi="方正仿宋_GBK" w:eastAsia="方正仿宋_GBK" w:cs="方正仿宋_GBK"/>
          <w:color w:val="000000"/>
          <w:kern w:val="0"/>
          <w:sz w:val="32"/>
          <w:szCs w:val="32"/>
          <w:shd w:val="clear" w:color="auto" w:fill="FFFFFF"/>
        </w:rPr>
        <w:t>并于</w:t>
      </w:r>
      <w:r>
        <w:rPr>
          <w:rFonts w:hint="eastAsia" w:ascii="方正仿宋_GBK" w:hAnsi="方正仿宋_GBK" w:eastAsia="方正仿宋_GBK" w:cs="方正仿宋_GBK"/>
          <w:color w:val="000000"/>
          <w:kern w:val="0"/>
          <w:sz w:val="32"/>
          <w:szCs w:val="32"/>
          <w:shd w:val="clear" w:color="auto" w:fill="FFFFFF"/>
          <w:lang w:val="en-US" w:eastAsia="zh-CN"/>
        </w:rPr>
        <w:t>同年8月1</w:t>
      </w:r>
      <w:r>
        <w:rPr>
          <w:rFonts w:hint="eastAsia" w:ascii="方正仿宋_GBK" w:hAnsi="方正仿宋_GBK" w:eastAsia="方正仿宋_GBK" w:cs="方正仿宋_GBK"/>
          <w:color w:val="000000"/>
          <w:kern w:val="0"/>
          <w:sz w:val="32"/>
          <w:szCs w:val="32"/>
          <w:shd w:val="clear" w:color="auto" w:fill="FFFFFF"/>
        </w:rPr>
        <w:t>日正式实施</w:t>
      </w:r>
      <w:r>
        <w:rPr>
          <w:rFonts w:hint="eastAsia" w:ascii="方正仿宋_GBK" w:hAnsi="方正仿宋_GBK" w:eastAsia="方正仿宋_GBK" w:cs="方正仿宋_GBK"/>
          <w:color w:val="000000"/>
          <w:sz w:val="32"/>
          <w:szCs w:val="32"/>
        </w:rPr>
        <w:t>，至今已施行9年</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根据《江苏省行政规范性文件管理规定》（省政府令第158号）</w:t>
      </w:r>
      <w:r>
        <w:rPr>
          <w:rFonts w:hint="eastAsia" w:ascii="方正仿宋_GBK" w:hAnsi="方正仿宋_GBK" w:eastAsia="方正仿宋_GBK" w:cs="方正仿宋_GBK"/>
          <w:color w:val="000000"/>
          <w:sz w:val="32"/>
          <w:szCs w:val="32"/>
          <w:lang w:eastAsia="zh-CN"/>
        </w:rPr>
        <w:t>关于行政规范性文件有效期的相关规定，需要予以修订。</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2、实施主体发生变化。</w:t>
      </w:r>
      <w:r>
        <w:rPr>
          <w:rFonts w:hint="eastAsia" w:ascii="方正仿宋_GBK" w:hAnsi="方正仿宋_GBK" w:eastAsia="方正仿宋_GBK" w:cs="方正仿宋_GBK"/>
          <w:kern w:val="0"/>
          <w:sz w:val="32"/>
          <w:szCs w:val="32"/>
          <w:lang w:val="en-US" w:eastAsia="zh-CN" w:bidi="ar"/>
        </w:rPr>
        <w:t>2018年10月，根据《江苏省机构改革方案》，不再保留江苏省海洋与渔业局，相关职能划归江苏省农业农村厅。同时，“安徽省农业委员会”更名为“安徽省农业农村厅”，因此</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规定</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kern w:val="0"/>
          <w:sz w:val="32"/>
          <w:szCs w:val="32"/>
          <w:lang w:val="en-US" w:eastAsia="zh-CN" w:bidi="ar"/>
        </w:rPr>
        <w:t>的制定主体需要予以变更。</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3、部分关联规范性文件发生变更。</w:t>
      </w:r>
      <w:r>
        <w:rPr>
          <w:rFonts w:hint="eastAsia" w:ascii="方正仿宋_GBK" w:hAnsi="方正仿宋_GBK" w:eastAsia="方正仿宋_GBK" w:cs="方正仿宋_GBK"/>
          <w:kern w:val="0"/>
          <w:sz w:val="32"/>
          <w:szCs w:val="32"/>
          <w:lang w:val="en-US" w:eastAsia="zh-CN" w:bidi="ar"/>
        </w:rPr>
        <w:t>该《规定》中所引用的《高宝邵伯湖封湖禁渔通告》已变更为《高宝邵伯湖渔业资源保护若干规定》，《高宝邵伯湖主要渔具控制标准及规范管理规定》也已经纳入拟废止计划。</w:t>
      </w:r>
    </w:p>
    <w:p>
      <w:pPr>
        <w:pStyle w:val="6"/>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pacing w:val="-6"/>
          <w:kern w:val="2"/>
          <w:sz w:val="32"/>
          <w:szCs w:val="32"/>
          <w:lang w:val="en-US" w:eastAsia="zh-CN" w:bidi="ar-SA"/>
        </w:rPr>
        <w:t>4、内容已不符合上位法规定。</w:t>
      </w:r>
      <w:r>
        <w:rPr>
          <w:rFonts w:hint="eastAsia" w:ascii="方正仿宋_GBK" w:hAnsi="方正仿宋_GBK" w:eastAsia="方正仿宋_GBK" w:cs="方正仿宋_GBK"/>
          <w:kern w:val="0"/>
          <w:sz w:val="32"/>
          <w:szCs w:val="32"/>
          <w:lang w:val="en-US" w:eastAsia="zh-CN" w:bidi="ar"/>
        </w:rPr>
        <w:t>部分条款已不再适用于当前情况。近年来，国家及地方在渔业资源保护、渔业生态环境治理等方面出台了一系列新的法律法规和政策措施，原文件的部分条款已不符合现行法律法规和政策要求，已无保留的必要。</w:t>
      </w:r>
    </w:p>
    <w:p>
      <w:pPr>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eastAsia" w:ascii="方正黑体_GBK" w:hAnsi="方正黑体_GBK" w:eastAsia="方正黑体_GBK" w:cs="方正黑体_GBK"/>
          <w:kern w:val="0"/>
          <w:sz w:val="32"/>
          <w:szCs w:val="32"/>
          <w:lang w:val="en-US" w:eastAsia="zh-CN" w:bidi="ar"/>
        </w:rPr>
      </w:pPr>
      <w:r>
        <w:rPr>
          <w:rFonts w:hint="eastAsia" w:ascii="方正黑体_GBK" w:hAnsi="方正黑体_GBK" w:eastAsia="方正黑体_GBK" w:cs="方正黑体_GBK"/>
          <w:kern w:val="0"/>
          <w:sz w:val="32"/>
          <w:szCs w:val="32"/>
          <w:lang w:val="en-US" w:eastAsia="zh-CN" w:bidi="ar"/>
        </w:rPr>
        <w:t>二、修订工作过程</w:t>
      </w:r>
    </w:p>
    <w:p>
      <w:pPr>
        <w:tabs>
          <w:tab w:val="left" w:pos="720"/>
        </w:tabs>
        <w:ind w:firstLine="628" w:firstLineChars="200"/>
        <w:rPr>
          <w:rFonts w:hint="eastAsia" w:ascii="方正仿宋_GBK" w:hAnsi="方正仿宋_GBK" w:eastAsia="方正仿宋_GBK" w:cs="方正仿宋_GBK"/>
          <w:color w:val="000000"/>
          <w:sz w:val="32"/>
          <w:szCs w:val="32"/>
          <w:lang w:val="en-US" w:eastAsia="zh-CN"/>
        </w:rPr>
      </w:pPr>
      <w:r>
        <w:rPr>
          <w:rFonts w:hint="eastAsia" w:ascii="方正仿宋_GBK" w:hAnsi="方正仿宋_GBK" w:eastAsia="方正仿宋_GBK" w:cs="方正仿宋_GBK"/>
          <w:color w:val="000000"/>
          <w:sz w:val="32"/>
          <w:szCs w:val="32"/>
          <w:lang w:val="en-US" w:eastAsia="zh-CN"/>
        </w:rPr>
        <w:t>2024年1月-4月，广泛收集相关法律法规、政策文件、行业先进经验、社会意见等，为修订提供充分依据。对原文件存在的问题进行深入分析，明确修订的重点和难点。在充分调研的基础上，形成修订草案初稿。</w:t>
      </w:r>
    </w:p>
    <w:p>
      <w:pPr>
        <w:tabs>
          <w:tab w:val="left" w:pos="720"/>
        </w:tabs>
        <w:ind w:firstLine="628" w:firstLineChars="200"/>
        <w:rPr>
          <w:rFonts w:hint="eastAsia" w:ascii="方正仿宋_GBK" w:hAnsi="方正仿宋_GBK" w:eastAsia="方正仿宋_GBK" w:cs="方正仿宋_GBK"/>
          <w:color w:val="000000"/>
          <w:sz w:val="32"/>
          <w:szCs w:val="32"/>
          <w:lang w:val="en-US" w:eastAsia="zh-CN"/>
        </w:rPr>
      </w:pPr>
      <w:r>
        <w:rPr>
          <w:rFonts w:hint="eastAsia" w:ascii="方正仿宋_GBK" w:hAnsi="方正仿宋_GBK" w:eastAsia="方正仿宋_GBK" w:cs="方正仿宋_GBK"/>
          <w:color w:val="000000"/>
          <w:sz w:val="32"/>
          <w:szCs w:val="32"/>
          <w:lang w:val="en-US" w:eastAsia="zh-CN"/>
        </w:rPr>
        <w:t>2024年5月-8月，组织内部相关部门对修订草案进行初步审查，提出修改意见。向行业相关单位征求意见，提升修订的准确性。通过省</w:t>
      </w:r>
      <w:r>
        <w:rPr>
          <w:rFonts w:hint="eastAsia" w:ascii="方正仿宋_GBK" w:hAnsi="方正仿宋_GBK" w:eastAsia="方正仿宋_GBK" w:cs="方正仿宋_GBK"/>
          <w:kern w:val="0"/>
          <w:sz w:val="32"/>
          <w:szCs w:val="32"/>
          <w:lang w:val="en-US" w:eastAsia="zh-CN" w:bidi="ar"/>
        </w:rPr>
        <w:t>农业农村</w:t>
      </w:r>
      <w:r>
        <w:rPr>
          <w:rFonts w:hint="eastAsia" w:ascii="方正仿宋_GBK" w:hAnsi="方正仿宋_GBK" w:eastAsia="方正仿宋_GBK" w:cs="方正仿宋_GBK"/>
          <w:color w:val="000000"/>
          <w:sz w:val="32"/>
          <w:szCs w:val="32"/>
          <w:lang w:val="en-US" w:eastAsia="zh-CN"/>
        </w:rPr>
        <w:t>厅网站、座谈会等方式，向社会公众广泛征求意见，提高修订工作的透明度和参与度。邀请法律、政策等领域的专家对修订草案进行论证，确保专业性和科学性。</w:t>
      </w:r>
    </w:p>
    <w:p>
      <w:pPr>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eastAsia" w:ascii="方正黑体_GBK" w:hAnsi="方正黑体_GBK" w:eastAsia="方正黑体_GBK" w:cs="方正黑体_GBK"/>
          <w:kern w:val="0"/>
          <w:sz w:val="32"/>
          <w:szCs w:val="32"/>
          <w:lang w:val="en-US" w:eastAsia="zh-CN" w:bidi="ar"/>
        </w:rPr>
      </w:pPr>
      <w:r>
        <w:rPr>
          <w:rFonts w:hint="eastAsia" w:ascii="方正黑体_GBK" w:hAnsi="方正黑体_GBK" w:eastAsia="方正黑体_GBK" w:cs="方正黑体_GBK"/>
          <w:kern w:val="0"/>
          <w:sz w:val="32"/>
          <w:szCs w:val="32"/>
          <w:lang w:val="en-US" w:eastAsia="zh-CN" w:bidi="ar"/>
        </w:rPr>
        <w:t>三、修订依据</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1.</w:t>
      </w:r>
      <w:r>
        <w:rPr>
          <w:rFonts w:hint="eastAsia" w:ascii="方正仿宋_GBK" w:hAnsi="方正仿宋_GBK" w:eastAsia="方正仿宋_GBK" w:cs="方正仿宋_GBK"/>
          <w:kern w:val="0"/>
          <w:sz w:val="32"/>
          <w:szCs w:val="32"/>
          <w:lang w:val="en-US" w:eastAsia="zh-CN" w:bidi="ar"/>
        </w:rPr>
        <w:t>《中华人民共和国渔业法》</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2.</w:t>
      </w:r>
      <w:r>
        <w:rPr>
          <w:rFonts w:hint="eastAsia" w:ascii="方正仿宋_GBK" w:hAnsi="方正仿宋_GBK" w:eastAsia="方正仿宋_GBK" w:cs="方正仿宋_GBK"/>
          <w:kern w:val="0"/>
          <w:sz w:val="32"/>
          <w:szCs w:val="32"/>
          <w:lang w:val="en-US" w:eastAsia="zh-CN" w:bidi="ar"/>
        </w:rPr>
        <w:t>《江苏省渔业管理条例》</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3.</w:t>
      </w:r>
      <w:r>
        <w:rPr>
          <w:rFonts w:hint="eastAsia" w:ascii="方正仿宋_GBK" w:hAnsi="方正仿宋_GBK" w:eastAsia="方正仿宋_GBK" w:cs="方正仿宋_GBK"/>
          <w:kern w:val="0"/>
          <w:sz w:val="32"/>
          <w:szCs w:val="32"/>
          <w:lang w:val="en-US" w:eastAsia="zh-CN" w:bidi="ar"/>
        </w:rPr>
        <w:t>《省政府印发关于全面推进我省长江流域禁捕退捕工作实施方案的通知》</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4.</w:t>
      </w:r>
      <w:r>
        <w:rPr>
          <w:rFonts w:hint="eastAsia" w:ascii="方正仿宋_GBK" w:hAnsi="方正仿宋_GBK" w:eastAsia="方正仿宋_GBK" w:cs="方正仿宋_GBK"/>
          <w:kern w:val="0"/>
          <w:sz w:val="32"/>
          <w:szCs w:val="32"/>
          <w:lang w:val="en-US" w:eastAsia="zh-CN" w:bidi="ar"/>
        </w:rPr>
        <w:t>《高宝邵伯湖（省管渔业水域）养殖水域滩涂规划（2020-2030）》</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5.</w:t>
      </w:r>
      <w:r>
        <w:rPr>
          <w:rFonts w:hint="eastAsia" w:ascii="方正仿宋_GBK" w:hAnsi="方正仿宋_GBK" w:eastAsia="方正仿宋_GBK" w:cs="方正仿宋_GBK"/>
          <w:kern w:val="0"/>
          <w:sz w:val="32"/>
          <w:szCs w:val="32"/>
          <w:lang w:val="en-US" w:eastAsia="zh-CN" w:bidi="ar"/>
        </w:rPr>
        <w:t>江苏省农业农村厅2020年13号《公告》</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r>
        <w:rPr>
          <w:rFonts w:hint="eastAsia" w:ascii="方正楷体_GBK" w:hAnsi="方正楷体_GBK" w:eastAsia="方正楷体_GBK" w:cs="方正楷体_GBK"/>
          <w:b w:val="0"/>
          <w:bCs w:val="0"/>
          <w:color w:val="000000"/>
          <w:sz w:val="32"/>
          <w:szCs w:val="32"/>
          <w:lang w:val="en-US" w:eastAsia="zh-CN"/>
        </w:rPr>
        <w:t>6.</w:t>
      </w:r>
      <w:r>
        <w:rPr>
          <w:rFonts w:hint="eastAsia" w:ascii="方正仿宋_GBK" w:hAnsi="方正仿宋_GBK" w:eastAsia="方正仿宋_GBK" w:cs="方正仿宋_GBK"/>
          <w:kern w:val="0"/>
          <w:sz w:val="32"/>
          <w:szCs w:val="32"/>
          <w:lang w:val="en-US" w:eastAsia="zh-CN" w:bidi="ar"/>
        </w:rPr>
        <w:t>《高宝邵伯湖渔业资源保护若干规定》</w:t>
      </w:r>
    </w:p>
    <w:p>
      <w:pPr>
        <w:keepNext w:val="0"/>
        <w:keepLines w:val="0"/>
        <w:pageBreakBefore w:val="0"/>
        <w:widowControl w:val="0"/>
        <w:kinsoku/>
        <w:wordWrap/>
        <w:overflowPunct w:val="0"/>
        <w:topLinePunct/>
        <w:autoSpaceDE/>
        <w:autoSpaceDN/>
        <w:bidi w:val="0"/>
        <w:adjustRightInd w:val="0"/>
        <w:snapToGrid/>
        <w:spacing w:line="560" w:lineRule="exact"/>
        <w:ind w:firstLine="604"/>
        <w:textAlignment w:val="auto"/>
        <w:rPr>
          <w:rFonts w:hint="eastAsia" w:ascii="方正仿宋_GBK" w:hAnsi="方正仿宋_GBK" w:eastAsia="方正仿宋_GBK" w:cs="方正仿宋_GBK"/>
          <w:kern w:val="0"/>
          <w:sz w:val="32"/>
          <w:szCs w:val="32"/>
          <w:lang w:val="en-US" w:eastAsia="zh-CN" w:bidi="ar"/>
        </w:rPr>
      </w:pPr>
    </w:p>
    <w:p>
      <w:pPr>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default" w:ascii="Nimbus Roman" w:hAnsi="Nimbus Roman" w:eastAsia="方正仿宋_GBK" w:cs="Nimbus Roman"/>
          <w:kern w:val="0"/>
          <w:sz w:val="32"/>
          <w:szCs w:val="32"/>
          <w:lang w:val="en-US" w:eastAsia="zh-CN" w:bidi="ar"/>
        </w:rPr>
        <w:sectPr>
          <w:pgSz w:w="11906" w:h="16838"/>
          <w:pgMar w:top="1362" w:right="1474" w:bottom="1036" w:left="1587" w:header="851" w:footer="1049" w:gutter="0"/>
          <w:pgNumType w:fmt="numberInDash"/>
          <w:cols w:space="720" w:num="1"/>
          <w:docGrid w:type="linesAndChars" w:linePitch="592" w:charSpace="1229"/>
        </w:sectPr>
      </w:pPr>
      <w:r>
        <w:rPr>
          <w:rFonts w:hint="eastAsia" w:ascii="方正仿宋_GBK" w:hAnsi="方正仿宋_GBK" w:eastAsia="方正仿宋_GBK" w:cs="方正仿宋_GBK"/>
          <w:kern w:val="0"/>
          <w:sz w:val="32"/>
          <w:szCs w:val="32"/>
          <w:lang w:val="en-US" w:eastAsia="zh-CN" w:bidi="ar"/>
        </w:rPr>
        <w:t>附件：</w:t>
      </w:r>
      <w:r>
        <w:rPr>
          <w:rFonts w:hint="eastAsia" w:ascii="方正仿宋_GBK" w:hAnsi="方正仿宋_GBK" w:eastAsia="方正仿宋_GBK" w:cs="方正仿宋_GBK"/>
          <w:kern w:val="0"/>
          <w:sz w:val="32"/>
          <w:szCs w:val="32"/>
          <w:vertAlign w:val="baseline"/>
          <w:lang w:val="en-US" w:eastAsia="zh-CN" w:bidi="ar"/>
        </w:rPr>
        <w:t>拟修订的条款内容及说明</w:t>
      </w:r>
    </w:p>
    <w:p>
      <w:pPr>
        <w:keepNext w:val="0"/>
        <w:keepLines w:val="0"/>
        <w:pageBreakBefore w:val="0"/>
        <w:widowControl w:val="0"/>
        <w:kinsoku/>
        <w:wordWrap/>
        <w:overflowPunct w:val="0"/>
        <w:topLinePunct/>
        <w:autoSpaceDE/>
        <w:autoSpaceDN/>
        <w:bidi w:val="0"/>
        <w:adjustRightInd w:val="0"/>
        <w:snapToGrid/>
        <w:spacing w:line="560" w:lineRule="exact"/>
        <w:ind w:firstLine="628" w:firstLineChars="200"/>
        <w:textAlignment w:val="auto"/>
        <w:rPr>
          <w:rFonts w:hint="default" w:ascii="Nimbus Roman" w:hAnsi="Nimbus Roman" w:eastAsia="方正仿宋_GBK" w:cs="Nimbus Roman"/>
          <w:kern w:val="0"/>
          <w:sz w:val="32"/>
          <w:szCs w:val="32"/>
          <w:lang w:val="en-US" w:eastAsia="zh-CN" w:bidi="ar"/>
        </w:rPr>
      </w:pPr>
      <w:r>
        <w:rPr>
          <w:rFonts w:hint="default" w:ascii="Nimbus Roman" w:hAnsi="Nimbus Roman" w:eastAsia="方正仿宋_GBK" w:cs="Nimbus Roman"/>
          <w:kern w:val="0"/>
          <w:sz w:val="32"/>
          <w:szCs w:val="32"/>
          <w:lang w:val="en-US" w:eastAsia="zh-CN" w:bidi="ar"/>
        </w:rPr>
        <w:t>附件</w:t>
      </w:r>
    </w:p>
    <w:tbl>
      <w:tblPr>
        <w:tblStyle w:val="11"/>
        <w:tblW w:w="13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3"/>
        <w:gridCol w:w="5298"/>
        <w:gridCol w:w="3937"/>
        <w:gridCol w:w="32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13460" w:type="dxa"/>
            <w:gridSpan w:val="4"/>
            <w:noWrap w:val="0"/>
            <w:vAlign w:val="center"/>
          </w:tcPr>
          <w:p>
            <w:pPr>
              <w:keepNext w:val="0"/>
              <w:keepLines w:val="0"/>
              <w:pageBreakBefore w:val="0"/>
              <w:widowControl w:val="0"/>
              <w:kinsoku/>
              <w:wordWrap/>
              <w:overflowPunct w:val="0"/>
              <w:topLinePunct/>
              <w:autoSpaceDE/>
              <w:autoSpaceDN/>
              <w:bidi w:val="0"/>
              <w:adjustRightInd w:val="0"/>
              <w:snapToGrid/>
              <w:spacing w:line="560" w:lineRule="exact"/>
              <w:jc w:val="center"/>
              <w:textAlignment w:val="auto"/>
              <w:rPr>
                <w:rFonts w:hint="eastAsia" w:ascii="方正仿宋_GBK" w:hAnsi="方正仿宋_GBK" w:eastAsia="方正仿宋_GBK" w:cs="方正仿宋_GBK"/>
                <w:kern w:val="0"/>
                <w:sz w:val="32"/>
                <w:szCs w:val="32"/>
                <w:vertAlign w:val="baseline"/>
                <w:lang w:val="en-US" w:eastAsia="zh-CN" w:bidi="ar"/>
              </w:rPr>
            </w:pPr>
            <w:r>
              <w:rPr>
                <w:rFonts w:hint="eastAsia" w:ascii="方正仿宋_GBK" w:hAnsi="方正仿宋_GBK" w:eastAsia="方正仿宋_GBK" w:cs="方正仿宋_GBK"/>
                <w:kern w:val="0"/>
                <w:sz w:val="32"/>
                <w:szCs w:val="32"/>
                <w:vertAlign w:val="baseline"/>
                <w:lang w:val="en-US" w:eastAsia="zh-CN" w:bidi="ar"/>
              </w:rPr>
              <w:t>拟修订的条款内容及说明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5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序号</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5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条款原文</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5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修订意见</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5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具体说明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1</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b/>
                <w:bCs/>
                <w:kern w:val="0"/>
                <w:sz w:val="28"/>
                <w:szCs w:val="28"/>
                <w:vertAlign w:val="baseline"/>
                <w:lang w:val="en-US" w:eastAsia="zh-CN" w:bidi="ar"/>
              </w:rPr>
              <w:t>第五条第三款</w:t>
            </w:r>
            <w:r>
              <w:rPr>
                <w:rFonts w:hint="eastAsia" w:ascii="方正仿宋_GBK" w:hAnsi="方正仿宋_GBK" w:eastAsia="方正仿宋_GBK" w:cs="方正仿宋_GBK"/>
                <w:sz w:val="28"/>
                <w:szCs w:val="28"/>
                <w:lang w:val="en-US" w:eastAsia="zh-CN"/>
              </w:rPr>
              <w:t>“</w:t>
            </w:r>
            <w:r>
              <w:rPr>
                <w:rFonts w:hint="eastAsia" w:ascii="方正仿宋_GBK" w:hAnsi="方正仿宋_GBK" w:eastAsia="方正仿宋_GBK" w:cs="方正仿宋_GBK"/>
                <w:sz w:val="28"/>
                <w:szCs w:val="28"/>
              </w:rPr>
              <w:t>渔管委办公室受江苏省海洋与渔业局的委托,按照国家和省规定的程序和标准，负责养殖证的发证、登记具体工作；实行不动产统一登记后，按照不动产统一登记的要求负责养殖证发放的相关工作</w:t>
            </w:r>
            <w:r>
              <w:rPr>
                <w:rFonts w:hint="eastAsia" w:ascii="方正仿宋_GBK" w:hAnsi="方正仿宋_GBK" w:eastAsia="方正仿宋_GBK" w:cs="方正仿宋_GBK"/>
                <w:kern w:val="0"/>
                <w:sz w:val="28"/>
                <w:szCs w:val="28"/>
                <w:vertAlign w:val="baseline"/>
                <w:lang w:val="en-US" w:eastAsia="zh-CN" w:bidi="ar"/>
              </w:rPr>
              <w:t>”</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删除该款</w:t>
            </w:r>
          </w:p>
        </w:tc>
        <w:tc>
          <w:tcPr>
            <w:tcW w:w="3212" w:type="dxa"/>
            <w:vMerge w:val="restart"/>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eastAsia="zh-CN" w:bidi="ar"/>
              </w:rPr>
            </w:pPr>
            <w:r>
              <w:rPr>
                <w:rFonts w:hint="eastAsia" w:ascii="方正仿宋_GBK" w:hAnsi="方正仿宋_GBK" w:eastAsia="方正仿宋_GBK" w:cs="方正仿宋_GBK"/>
                <w:kern w:val="0"/>
                <w:sz w:val="28"/>
                <w:szCs w:val="28"/>
                <w:vertAlign w:val="baseline"/>
                <w:lang w:bidi="ar"/>
              </w:rPr>
              <w:t>按照国家和省规定的程序和标准，</w:t>
            </w:r>
            <w:r>
              <w:rPr>
                <w:rFonts w:hint="eastAsia" w:ascii="方正仿宋_GBK" w:hAnsi="方正仿宋_GBK" w:eastAsia="方正仿宋_GBK" w:cs="方正仿宋_GBK"/>
                <w:kern w:val="0"/>
                <w:sz w:val="28"/>
                <w:szCs w:val="28"/>
                <w:vertAlign w:val="baseline"/>
                <w:lang w:eastAsia="zh-CN" w:bidi="ar"/>
              </w:rPr>
              <w:t>受理</w:t>
            </w:r>
            <w:r>
              <w:rPr>
                <w:rFonts w:hint="eastAsia" w:ascii="方正仿宋_GBK" w:hAnsi="方正仿宋_GBK" w:eastAsia="方正仿宋_GBK" w:cs="方正仿宋_GBK"/>
                <w:kern w:val="0"/>
                <w:sz w:val="28"/>
                <w:szCs w:val="28"/>
                <w:vertAlign w:val="baseline"/>
                <w:lang w:bidi="ar"/>
              </w:rPr>
              <w:t>湖区养殖</w:t>
            </w:r>
            <w:r>
              <w:rPr>
                <w:rFonts w:hint="eastAsia" w:ascii="方正仿宋_GBK" w:hAnsi="方正仿宋_GBK" w:eastAsia="方正仿宋_GBK" w:cs="方正仿宋_GBK"/>
                <w:kern w:val="0"/>
                <w:sz w:val="28"/>
                <w:szCs w:val="28"/>
                <w:vertAlign w:val="baseline"/>
                <w:lang w:eastAsia="zh-CN" w:bidi="ar"/>
              </w:rPr>
              <w:t>证</w:t>
            </w:r>
            <w:r>
              <w:rPr>
                <w:rFonts w:hint="eastAsia" w:ascii="方正仿宋_GBK" w:hAnsi="方正仿宋_GBK" w:eastAsia="方正仿宋_GBK" w:cs="方正仿宋_GBK"/>
                <w:kern w:val="0"/>
                <w:sz w:val="28"/>
                <w:szCs w:val="28"/>
                <w:vertAlign w:val="baseline"/>
                <w:lang w:bidi="ar"/>
              </w:rPr>
              <w:t>流转</w:t>
            </w:r>
            <w:r>
              <w:rPr>
                <w:rFonts w:hint="eastAsia" w:ascii="方正仿宋_GBK" w:hAnsi="方正仿宋_GBK" w:eastAsia="方正仿宋_GBK" w:cs="方正仿宋_GBK"/>
                <w:kern w:val="0"/>
                <w:sz w:val="28"/>
                <w:szCs w:val="28"/>
                <w:vertAlign w:val="baseline"/>
                <w:lang w:eastAsia="zh-CN" w:bidi="ar"/>
              </w:rPr>
              <w:t>等业务。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2</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b/>
                <w:bCs/>
                <w:kern w:val="0"/>
                <w:sz w:val="28"/>
                <w:szCs w:val="28"/>
                <w:vertAlign w:val="baseline"/>
                <w:lang w:val="en-US" w:eastAsia="zh-CN" w:bidi="ar"/>
              </w:rPr>
              <w:t>第六条第二款</w:t>
            </w:r>
            <w:r>
              <w:rPr>
                <w:rFonts w:hint="eastAsia" w:ascii="方正仿宋_GBK" w:hAnsi="方正仿宋_GBK" w:eastAsia="方正仿宋_GBK" w:cs="方正仿宋_GBK"/>
                <w:kern w:val="0"/>
                <w:sz w:val="28"/>
                <w:szCs w:val="28"/>
                <w:vertAlign w:val="baseline"/>
                <w:lang w:val="en-US" w:eastAsia="zh-CN" w:bidi="ar"/>
              </w:rPr>
              <w:t>“渔管委办公室调查登记、审查公示后，报江苏省海洋与渔业局审核，经省人民政府批准，核发养殖证，许可申请人使用特定水域、滩涂从事渔业养殖生产”</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p>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将“江苏省海洋与渔业局”变更为“江苏省农业农村厅”</w:t>
            </w:r>
          </w:p>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bidi="ar"/>
              </w:rPr>
            </w:pPr>
          </w:p>
        </w:tc>
        <w:tc>
          <w:tcPr>
            <w:tcW w:w="3212" w:type="dxa"/>
            <w:vMerge w:val="continue"/>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1"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3</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b/>
                <w:bCs/>
                <w:kern w:val="0"/>
                <w:sz w:val="28"/>
                <w:szCs w:val="28"/>
                <w:vertAlign w:val="baseline"/>
                <w:lang w:val="en-US" w:eastAsia="zh-CN" w:bidi="ar"/>
              </w:rPr>
              <w:t>第七条第三款</w:t>
            </w:r>
            <w:r>
              <w:rPr>
                <w:rFonts w:hint="eastAsia" w:ascii="方正仿宋_GBK" w:hAnsi="方正仿宋_GBK" w:eastAsia="方正仿宋_GBK" w:cs="方正仿宋_GBK"/>
                <w:kern w:val="0"/>
                <w:sz w:val="28"/>
                <w:szCs w:val="28"/>
                <w:vertAlign w:val="baseline"/>
                <w:lang w:val="en-US" w:eastAsia="zh-CN" w:bidi="ar"/>
              </w:rPr>
              <w:t>“</w:t>
            </w:r>
            <w:r>
              <w:rPr>
                <w:rFonts w:hint="eastAsia" w:ascii="方正仿宋_GBK" w:hAnsi="方正仿宋_GBK" w:eastAsia="方正仿宋_GBK" w:cs="方正仿宋_GBK"/>
                <w:sz w:val="28"/>
                <w:szCs w:val="28"/>
              </w:rPr>
              <w:t>符合养殖权许可条件但因历史原因未取得养殖证的单位和个人，应当补办养殖权申请许可</w:t>
            </w:r>
            <w:r>
              <w:rPr>
                <w:rFonts w:hint="eastAsia" w:ascii="方正仿宋_GBK" w:hAnsi="方正仿宋_GBK" w:eastAsia="方正仿宋_GBK" w:cs="方正仿宋_GBK"/>
                <w:kern w:val="0"/>
                <w:sz w:val="28"/>
                <w:szCs w:val="28"/>
                <w:vertAlign w:val="baseline"/>
                <w:lang w:val="en-US" w:eastAsia="zh-CN" w:bidi="ar"/>
              </w:rPr>
              <w:t>”</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删除该款</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eastAsia="zh-CN" w:bidi="ar"/>
              </w:rPr>
            </w:pPr>
            <w:r>
              <w:rPr>
                <w:rFonts w:hint="eastAsia" w:ascii="方正仿宋_GBK" w:hAnsi="方正仿宋_GBK" w:eastAsia="方正仿宋_GBK" w:cs="方正仿宋_GBK"/>
                <w:kern w:val="0"/>
                <w:sz w:val="28"/>
                <w:szCs w:val="28"/>
                <w:vertAlign w:val="baseline"/>
                <w:lang w:eastAsia="zh-CN" w:bidi="ar"/>
              </w:rPr>
              <w:t>根据现行的法律法规和政策要求，湖区养殖面积按照规划逐步压减。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4</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b/>
                <w:bCs/>
                <w:kern w:val="0"/>
                <w:sz w:val="28"/>
                <w:szCs w:val="28"/>
                <w:vertAlign w:val="baseline"/>
                <w:lang w:val="en-US" w:eastAsia="zh-CN" w:bidi="ar"/>
              </w:rPr>
              <w:t>第二十条</w:t>
            </w:r>
            <w:r>
              <w:rPr>
                <w:rFonts w:hint="eastAsia" w:ascii="方正仿宋_GBK" w:hAnsi="方正仿宋_GBK" w:eastAsia="方正仿宋_GBK" w:cs="方正仿宋_GBK"/>
                <w:kern w:val="0"/>
                <w:sz w:val="28"/>
                <w:szCs w:val="28"/>
                <w:vertAlign w:val="baseline"/>
                <w:lang w:val="en-US" w:eastAsia="zh-CN" w:bidi="ar"/>
              </w:rPr>
              <w:t>“</w:t>
            </w:r>
            <w:r>
              <w:rPr>
                <w:rFonts w:hint="eastAsia" w:ascii="方正仿宋_GBK" w:hAnsi="方正仿宋_GBK" w:eastAsia="方正仿宋_GBK" w:cs="方正仿宋_GBK"/>
                <w:color w:val="000000"/>
                <w:sz w:val="28"/>
                <w:szCs w:val="28"/>
              </w:rPr>
              <w:t>在高宝邵伯湖从事渔业捕捞，其作业时间、作业区域、所用渔具应当符合《高宝邵伯湖封湖禁渔通告》和《高宝邵伯湖主要渔具控制标准及规范管理规定》的规定。</w:t>
            </w:r>
            <w:r>
              <w:rPr>
                <w:rFonts w:hint="eastAsia" w:ascii="方正仿宋_GBK" w:hAnsi="方正仿宋_GBK" w:eastAsia="方正仿宋_GBK" w:cs="方正仿宋_GBK"/>
                <w:kern w:val="0"/>
                <w:sz w:val="28"/>
                <w:szCs w:val="28"/>
                <w:vertAlign w:val="baseline"/>
                <w:lang w:val="en-US" w:eastAsia="zh-CN" w:bidi="ar"/>
              </w:rPr>
              <w:t>”</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bidi="ar"/>
              </w:rPr>
            </w:pPr>
            <w:r>
              <w:rPr>
                <w:rFonts w:hint="eastAsia" w:ascii="方正仿宋_GBK" w:hAnsi="方正仿宋_GBK" w:eastAsia="方正仿宋_GBK" w:cs="方正仿宋_GBK"/>
                <w:kern w:val="0"/>
                <w:sz w:val="28"/>
                <w:szCs w:val="28"/>
                <w:vertAlign w:val="baseline"/>
                <w:lang w:val="en-US" w:eastAsia="zh-CN" w:bidi="ar"/>
              </w:rPr>
              <w:t>删除该条</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bidi="ar"/>
              </w:rPr>
            </w:pPr>
            <w:r>
              <w:rPr>
                <w:rFonts w:hint="eastAsia" w:ascii="方正仿宋_GBK" w:hAnsi="方正仿宋_GBK" w:eastAsia="方正仿宋_GBK" w:cs="方正仿宋_GBK"/>
                <w:kern w:val="0"/>
                <w:sz w:val="28"/>
                <w:szCs w:val="28"/>
                <w:vertAlign w:val="baseline"/>
                <w:lang w:bidi="ar"/>
              </w:rPr>
              <w:t>该规定中所引用的《高宝邵伯湖封湖禁渔通告》已变更为《高宝邵伯湖渔业资源保护若干规定》，《高宝邵伯湖主要渔具控制标准及规范管理规定》拟废止。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5</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textAlignment w:val="auto"/>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b/>
                <w:bCs/>
                <w:sz w:val="28"/>
                <w:szCs w:val="28"/>
              </w:rPr>
              <w:t>第二十一条</w:t>
            </w:r>
            <w:r>
              <w:rPr>
                <w:rFonts w:hint="eastAsia" w:ascii="方正仿宋_GBK" w:hAnsi="方正仿宋_GBK" w:eastAsia="方正仿宋_GBK" w:cs="方正仿宋_GBK"/>
                <w:color w:val="000000"/>
                <w:sz w:val="28"/>
                <w:szCs w:val="28"/>
              </w:rPr>
              <w:t xml:space="preserve">  虾簖、滩网、兜网为限制性渔具，应当按照渔业捕捞许可证核</w:t>
            </w:r>
            <w:r>
              <w:rPr>
                <w:rFonts w:hint="eastAsia" w:ascii="方正仿宋_GBK" w:hAnsi="方正仿宋_GBK" w:eastAsia="方正仿宋_GBK" w:cs="方正仿宋_GBK"/>
                <w:sz w:val="28"/>
                <w:szCs w:val="28"/>
              </w:rPr>
              <w:t>定的时间、地点、长度、数量生产</w:t>
            </w:r>
            <w:r>
              <w:rPr>
                <w:rFonts w:hint="eastAsia" w:ascii="方正仿宋_GBK" w:hAnsi="方正仿宋_GBK" w:eastAsia="方正仿宋_GBK" w:cs="方正仿宋_GBK"/>
                <w:color w:val="000000"/>
                <w:sz w:val="28"/>
                <w:szCs w:val="28"/>
              </w:rPr>
              <w:t>。</w:t>
            </w:r>
          </w:p>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color w:val="000000"/>
                <w:sz w:val="28"/>
                <w:szCs w:val="28"/>
              </w:rPr>
              <w:t>因传统作业习惯使用限制性渔具进行捕捞，依法需变更持证人的，应当改签为非限制性流动渔具。</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删除该条</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2020年10月，湖区全面退出捕捞，该条款已失去现实基础。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6</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z w:val="28"/>
                <w:szCs w:val="28"/>
              </w:rPr>
              <w:t>第二十五条</w:t>
            </w:r>
            <w:r>
              <w:rPr>
                <w:rFonts w:hint="eastAsia" w:ascii="方正仿宋_GBK" w:hAnsi="方正仿宋_GBK" w:eastAsia="方正仿宋_GBK" w:cs="方正仿宋_GBK"/>
                <w:sz w:val="28"/>
                <w:szCs w:val="28"/>
              </w:rPr>
              <w:t xml:space="preserve">  高宝邵伯湖实行禁渔区和禁渔期制度。</w:t>
            </w:r>
          </w:p>
          <w:p>
            <w:pPr>
              <w:keepNext w:val="0"/>
              <w:keepLines w:val="0"/>
              <w:pageBreakBefore w:val="0"/>
              <w:widowControl w:val="0"/>
              <w:kinsoku/>
              <w:wordWrap/>
              <w:overflowPunct w:val="0"/>
              <w:topLinePunct/>
              <w:autoSpaceDE/>
              <w:autoSpaceDN/>
              <w:bidi w:val="0"/>
              <w:adjustRightInd w:val="0"/>
              <w:snapToGrid/>
              <w:spacing w:line="360" w:lineRule="exact"/>
              <w:ind w:firstLine="548"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在高宝邵伯湖从事渔业生产的单位或者个人，应当遵守下列规定：</w:t>
            </w:r>
          </w:p>
          <w:p>
            <w:pPr>
              <w:keepNext w:val="0"/>
              <w:keepLines w:val="0"/>
              <w:pageBreakBefore w:val="0"/>
              <w:widowControl w:val="0"/>
              <w:kinsoku/>
              <w:wordWrap/>
              <w:overflowPunct w:val="0"/>
              <w:topLinePunct/>
              <w:autoSpaceDE/>
              <w:autoSpaceDN/>
              <w:bidi w:val="0"/>
              <w:adjustRightInd w:val="0"/>
              <w:snapToGrid/>
              <w:spacing w:line="360" w:lineRule="exact"/>
              <w:ind w:firstLine="548"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（一）每年1月1日0时至5月31日24时为高宝邵伯湖封湖禁渔期。在此期间，非经许可禁止入湖从事水生动植物捕捞；    </w:t>
            </w:r>
          </w:p>
          <w:p>
            <w:pPr>
              <w:keepNext w:val="0"/>
              <w:keepLines w:val="0"/>
              <w:pageBreakBefore w:val="0"/>
              <w:widowControl w:val="0"/>
              <w:kinsoku/>
              <w:wordWrap/>
              <w:overflowPunct w:val="0"/>
              <w:topLinePunct/>
              <w:autoSpaceDE/>
              <w:autoSpaceDN/>
              <w:bidi w:val="0"/>
              <w:adjustRightInd w:val="0"/>
              <w:snapToGrid/>
              <w:spacing w:line="360" w:lineRule="exact"/>
              <w:ind w:firstLine="548"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（二）每年6月1日0时至8月9日24时为梅鲚禁渔期，禁止兜网、滩网捕捞；</w:t>
            </w:r>
          </w:p>
          <w:p>
            <w:pPr>
              <w:keepNext w:val="0"/>
              <w:keepLines w:val="0"/>
              <w:pageBreakBefore w:val="0"/>
              <w:widowControl w:val="0"/>
              <w:kinsoku/>
              <w:wordWrap/>
              <w:overflowPunct w:val="0"/>
              <w:topLinePunct/>
              <w:autoSpaceDE/>
              <w:autoSpaceDN/>
              <w:bidi w:val="0"/>
              <w:adjustRightInd w:val="0"/>
              <w:snapToGrid/>
              <w:spacing w:line="360" w:lineRule="exact"/>
              <w:ind w:firstLine="548" w:firstLineChars="200"/>
              <w:textAlignment w:val="auto"/>
              <w:rPr>
                <w:rFonts w:hint="eastAsia" w:ascii="方正仿宋_GBK" w:hAnsi="方正仿宋_GBK" w:eastAsia="方正仿宋_GBK" w:cs="方正仿宋_GBK"/>
                <w:color w:val="000000"/>
                <w:sz w:val="28"/>
                <w:szCs w:val="28"/>
              </w:rPr>
            </w:pPr>
            <w:r>
              <w:rPr>
                <w:rFonts w:hint="eastAsia" w:ascii="方正仿宋_GBK" w:hAnsi="方正仿宋_GBK" w:eastAsia="方正仿宋_GBK" w:cs="方正仿宋_GBK"/>
                <w:sz w:val="28"/>
                <w:szCs w:val="28"/>
              </w:rPr>
              <w:t>（三）每年6月11日0时至8月9日24时为银鱼禁渔期，禁止扳网捕捞。</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sz w:val="28"/>
                <w:szCs w:val="28"/>
              </w:rPr>
              <w:t>第二十五条  高宝邵伯湖实行禁渔区和禁渔期制度。</w:t>
            </w:r>
            <w:r>
              <w:rPr>
                <w:rFonts w:hint="eastAsia" w:ascii="方正仿宋_GBK" w:hAnsi="方正仿宋_GBK" w:eastAsia="方正仿宋_GBK" w:cs="方正仿宋_GBK"/>
                <w:sz w:val="28"/>
                <w:szCs w:val="28"/>
                <w:lang w:val="en-US" w:eastAsia="zh-CN"/>
              </w:rPr>
              <w:t>具体要求按照</w:t>
            </w:r>
            <w:r>
              <w:rPr>
                <w:rFonts w:hint="eastAsia" w:ascii="方正仿宋_GBK" w:hAnsi="方正仿宋_GBK" w:eastAsia="方正仿宋_GBK" w:cs="方正仿宋_GBK"/>
                <w:kern w:val="0"/>
                <w:sz w:val="28"/>
                <w:szCs w:val="28"/>
                <w:vertAlign w:val="baseline"/>
                <w:lang w:bidi="ar"/>
              </w:rPr>
              <w:t>《高宝邵伯湖渔业资源保护若干规定》</w:t>
            </w:r>
            <w:r>
              <w:rPr>
                <w:rFonts w:hint="eastAsia" w:ascii="方正仿宋_GBK" w:hAnsi="方正仿宋_GBK" w:eastAsia="方正仿宋_GBK" w:cs="方正仿宋_GBK"/>
                <w:kern w:val="0"/>
                <w:sz w:val="28"/>
                <w:szCs w:val="28"/>
                <w:vertAlign w:val="baseline"/>
                <w:lang w:eastAsia="zh-CN" w:bidi="ar"/>
              </w:rPr>
              <w:t>执行</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bidi="ar"/>
              </w:rPr>
              <w:t>《高宝邵伯湖渔业资源保护若干规定》</w:t>
            </w:r>
            <w:r>
              <w:rPr>
                <w:rFonts w:hint="eastAsia" w:ascii="方正仿宋_GBK" w:hAnsi="方正仿宋_GBK" w:eastAsia="方正仿宋_GBK" w:cs="方正仿宋_GBK"/>
                <w:kern w:val="0"/>
                <w:sz w:val="28"/>
                <w:szCs w:val="28"/>
                <w:vertAlign w:val="baseline"/>
                <w:lang w:val="en-US" w:eastAsia="zh-CN" w:bidi="ar"/>
              </w:rPr>
              <w:t>修订后的禁渔期为“每年12月16日零时至次年6月15日24时为高宝邵伯湖封湖禁渔期。在此期间，非经许可禁止入湖从事水生动植物捕捞。每年6月16日零时至8月9日24时为梅鲚、银鱼禁渔期，禁止兜网、滩网、扳网捕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7</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b/>
                <w:bCs/>
                <w:color w:val="000000"/>
                <w:sz w:val="28"/>
                <w:szCs w:val="28"/>
                <w:lang w:val="en-US" w:eastAsia="zh-CN"/>
              </w:rPr>
              <w:t>第二十九条</w:t>
            </w:r>
            <w:r>
              <w:rPr>
                <w:rFonts w:hint="eastAsia" w:ascii="方正仿宋_GBK" w:hAnsi="方正仿宋_GBK" w:eastAsia="方正仿宋_GBK" w:cs="方正仿宋_GBK"/>
                <w:color w:val="000000"/>
                <w:sz w:val="28"/>
                <w:szCs w:val="28"/>
                <w:lang w:val="en-US" w:eastAsia="zh-CN"/>
              </w:rPr>
              <w:t>“</w:t>
            </w:r>
            <w:r>
              <w:rPr>
                <w:rFonts w:hint="eastAsia" w:ascii="方正仿宋_GBK" w:hAnsi="方正仿宋_GBK" w:eastAsia="方正仿宋_GBK" w:cs="方正仿宋_GBK"/>
                <w:color w:val="000000"/>
                <w:sz w:val="28"/>
                <w:szCs w:val="28"/>
              </w:rPr>
              <w:t>高邮湖安徽水域养殖证的发证、登记，由安徽省天长市渔业行政主管部门按照《中华人民共和国渔业法》和安徽省规定的标准和程序实施；该水域的渔业日常管理,由安徽省天长市渔政渔港监督管理站负责</w:t>
            </w:r>
            <w:r>
              <w:rPr>
                <w:rFonts w:hint="eastAsia" w:ascii="方正仿宋_GBK" w:hAnsi="方正仿宋_GBK" w:eastAsia="方正仿宋_GBK" w:cs="方正仿宋_GBK"/>
                <w:color w:val="000000"/>
                <w:sz w:val="28"/>
                <w:szCs w:val="28"/>
                <w:lang w:val="en-US" w:eastAsia="zh-CN"/>
              </w:rPr>
              <w:t>”</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color w:val="000000"/>
                <w:sz w:val="28"/>
                <w:szCs w:val="28"/>
              </w:rPr>
              <w:t>高邮湖安徽水域养殖证的发证、登记，由安徽省天长市渔业行政主管部门按照《中华人民共和国渔业法》和安徽省规定的标准和程序实施；该水域的渔业日常管理</w:t>
            </w:r>
            <w:r>
              <w:rPr>
                <w:rFonts w:hint="eastAsia" w:ascii="方正仿宋_GBK" w:hAnsi="方正仿宋_GBK" w:eastAsia="方正仿宋_GBK" w:cs="方正仿宋_GBK"/>
                <w:color w:val="000000"/>
                <w:sz w:val="28"/>
                <w:szCs w:val="28"/>
                <w:lang w:eastAsia="zh-CN"/>
              </w:rPr>
              <w:t>，</w:t>
            </w:r>
            <w:r>
              <w:rPr>
                <w:rFonts w:hint="eastAsia" w:ascii="方正仿宋_GBK" w:hAnsi="方正仿宋_GBK" w:eastAsia="方正仿宋_GBK" w:cs="方正仿宋_GBK"/>
                <w:color w:val="000000"/>
                <w:sz w:val="28"/>
                <w:szCs w:val="28"/>
              </w:rPr>
              <w:t>由安徽省</w:t>
            </w:r>
            <w:r>
              <w:rPr>
                <w:rFonts w:hint="eastAsia" w:ascii="方正仿宋_GBK" w:hAnsi="方正仿宋_GBK" w:eastAsia="方正仿宋_GBK" w:cs="方正仿宋_GBK"/>
                <w:color w:val="000000"/>
                <w:sz w:val="28"/>
                <w:szCs w:val="28"/>
                <w:lang w:val="en-US" w:eastAsia="zh-CN"/>
              </w:rPr>
              <w:t>相关渔业主管部门</w:t>
            </w:r>
            <w:r>
              <w:rPr>
                <w:rFonts w:hint="eastAsia" w:ascii="方正仿宋_GBK" w:hAnsi="方正仿宋_GBK" w:eastAsia="方正仿宋_GBK" w:cs="方正仿宋_GBK"/>
                <w:color w:val="000000"/>
                <w:sz w:val="28"/>
                <w:szCs w:val="28"/>
              </w:rPr>
              <w:t>负责</w:t>
            </w:r>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eastAsia="zh-CN" w:bidi="ar"/>
              </w:rPr>
              <w:t>由于机构改革，管理部门</w:t>
            </w:r>
            <w:r>
              <w:rPr>
                <w:rFonts w:hint="eastAsia" w:ascii="方正仿宋_GBK" w:hAnsi="方正仿宋_GBK" w:eastAsia="方正仿宋_GBK" w:cs="方正仿宋_GBK"/>
                <w:kern w:val="0"/>
                <w:sz w:val="28"/>
                <w:szCs w:val="28"/>
                <w:vertAlign w:val="baseline"/>
                <w:lang w:val="en-US" w:eastAsia="zh-CN" w:bidi="ar"/>
              </w:rPr>
              <w:t>修订为通用表述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trPr>
        <w:tc>
          <w:tcPr>
            <w:tcW w:w="1013"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val="en-US" w:eastAsia="zh-CN" w:bidi="ar"/>
              </w:rPr>
            </w:pPr>
            <w:r>
              <w:rPr>
                <w:rFonts w:hint="eastAsia" w:ascii="方正仿宋_GBK" w:hAnsi="方正仿宋_GBK" w:eastAsia="方正仿宋_GBK" w:cs="方正仿宋_GBK"/>
                <w:kern w:val="0"/>
                <w:sz w:val="28"/>
                <w:szCs w:val="28"/>
                <w:vertAlign w:val="baseline"/>
                <w:lang w:val="en-US" w:eastAsia="zh-CN" w:bidi="ar"/>
              </w:rPr>
              <w:t>8</w:t>
            </w:r>
          </w:p>
        </w:tc>
        <w:tc>
          <w:tcPr>
            <w:tcW w:w="5298"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b/>
                <w:bCs/>
                <w:color w:val="000000"/>
                <w:sz w:val="28"/>
                <w:szCs w:val="28"/>
                <w:lang w:val="en-US" w:eastAsia="zh-CN"/>
              </w:rPr>
              <w:t>第三十三条</w:t>
            </w:r>
            <w:r>
              <w:rPr>
                <w:rFonts w:hint="eastAsia" w:ascii="方正仿宋_GBK" w:hAnsi="方正仿宋_GBK" w:eastAsia="方正仿宋_GBK" w:cs="方正仿宋_GBK"/>
                <w:color w:val="000000"/>
                <w:sz w:val="28"/>
                <w:szCs w:val="28"/>
                <w:lang w:val="en-US" w:eastAsia="zh-CN"/>
              </w:rPr>
              <w:t>“</w:t>
            </w:r>
            <w:r>
              <w:rPr>
                <w:rFonts w:hint="eastAsia" w:ascii="方正仿宋_GBK" w:hAnsi="方正仿宋_GBK" w:eastAsia="方正仿宋_GBK" w:cs="方正仿宋_GBK"/>
                <w:color w:val="000000"/>
                <w:sz w:val="28"/>
                <w:szCs w:val="28"/>
              </w:rPr>
              <w:t>本规定自2015年8月1日起施行。</w:t>
            </w:r>
            <w:r>
              <w:rPr>
                <w:rFonts w:hint="eastAsia" w:ascii="方正仿宋_GBK" w:hAnsi="方正仿宋_GBK" w:eastAsia="方正仿宋_GBK" w:cs="方正仿宋_GBK"/>
                <w:color w:val="000000"/>
                <w:sz w:val="28"/>
                <w:szCs w:val="28"/>
                <w:lang w:val="en-US" w:eastAsia="zh-CN"/>
              </w:rPr>
              <w:t>”</w:t>
            </w:r>
          </w:p>
        </w:tc>
        <w:tc>
          <w:tcPr>
            <w:tcW w:w="3937"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left"/>
              <w:textAlignment w:val="auto"/>
              <w:rPr>
                <w:rFonts w:hint="eastAsia" w:ascii="方正仿宋_GBK" w:hAnsi="方正仿宋_GBK" w:eastAsia="方正仿宋_GBK" w:cs="方正仿宋_GBK"/>
                <w:color w:val="000000"/>
                <w:sz w:val="28"/>
                <w:szCs w:val="28"/>
                <w:lang w:val="en-US" w:eastAsia="zh-CN"/>
              </w:rPr>
            </w:pPr>
            <w:r>
              <w:rPr>
                <w:rFonts w:hint="eastAsia" w:ascii="方正仿宋_GBK" w:hAnsi="方正仿宋_GBK" w:eastAsia="方正仿宋_GBK" w:cs="方正仿宋_GBK"/>
                <w:color w:val="000000"/>
                <w:sz w:val="28"/>
                <w:szCs w:val="28"/>
                <w:lang w:val="en-US" w:eastAsia="zh-CN"/>
              </w:rPr>
              <w:t>根据修订后的发布日期予以更新</w:t>
            </w:r>
            <w:bookmarkStart w:id="0" w:name="_GoBack"/>
            <w:bookmarkEnd w:id="0"/>
          </w:p>
        </w:tc>
        <w:tc>
          <w:tcPr>
            <w:tcW w:w="3212" w:type="dxa"/>
            <w:noWrap w:val="0"/>
            <w:vAlign w:val="center"/>
          </w:tcPr>
          <w:p>
            <w:pPr>
              <w:keepNext w:val="0"/>
              <w:keepLines w:val="0"/>
              <w:pageBreakBefore w:val="0"/>
              <w:widowControl w:val="0"/>
              <w:kinsoku/>
              <w:wordWrap/>
              <w:overflowPunct w:val="0"/>
              <w:topLinePunct/>
              <w:autoSpaceDE/>
              <w:autoSpaceDN/>
              <w:bidi w:val="0"/>
              <w:adjustRightInd w:val="0"/>
              <w:snapToGrid/>
              <w:spacing w:line="360" w:lineRule="exact"/>
              <w:jc w:val="center"/>
              <w:textAlignment w:val="auto"/>
              <w:rPr>
                <w:rFonts w:hint="eastAsia" w:ascii="方正仿宋_GBK" w:hAnsi="方正仿宋_GBK" w:eastAsia="方正仿宋_GBK" w:cs="方正仿宋_GBK"/>
                <w:kern w:val="0"/>
                <w:sz w:val="28"/>
                <w:szCs w:val="28"/>
                <w:vertAlign w:val="baseline"/>
                <w:lang w:bidi="ar"/>
              </w:rPr>
            </w:pPr>
          </w:p>
        </w:tc>
      </w:tr>
    </w:tbl>
    <w:p>
      <w:pPr>
        <w:keepNext w:val="0"/>
        <w:keepLines w:val="0"/>
        <w:pageBreakBefore w:val="0"/>
        <w:widowControl w:val="0"/>
        <w:kinsoku/>
        <w:wordWrap/>
        <w:overflowPunct w:val="0"/>
        <w:topLinePunct/>
        <w:autoSpaceDE/>
        <w:autoSpaceDN/>
        <w:bidi w:val="0"/>
        <w:adjustRightInd w:val="0"/>
        <w:snapToGrid/>
        <w:spacing w:line="360" w:lineRule="exact"/>
        <w:ind w:firstLine="588" w:firstLineChars="200"/>
        <w:jc w:val="left"/>
        <w:textAlignment w:val="auto"/>
        <w:rPr>
          <w:rFonts w:hint="default" w:ascii="Nimbus Roman" w:hAnsi="Nimbus Roman" w:eastAsia="仿宋" w:cs="Nimbus Roman"/>
          <w:kern w:val="0"/>
          <w:sz w:val="30"/>
          <w:szCs w:val="30"/>
          <w:lang w:bidi="ar"/>
        </w:rPr>
      </w:pPr>
    </w:p>
    <w:sectPr>
      <w:pgSz w:w="16838" w:h="11906" w:orient="landscape"/>
      <w:pgMar w:top="1587" w:right="1362" w:bottom="1474" w:left="1848" w:header="851" w:footer="1049" w:gutter="0"/>
      <w:pgNumType w:fmt="numberInDash"/>
      <w:cols w:space="720" w:num="1"/>
      <w:docGrid w:type="linesAndChars" w:linePitch="592" w:charSpace="122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Nimbus Roman">
    <w:altName w:val="汉仪中秀体简"/>
    <w:panose1 w:val="00000500000000000000"/>
    <w:charset w:val="00"/>
    <w:family w:val="auto"/>
    <w:pitch w:val="default"/>
    <w:sig w:usb0="00000000" w:usb1="00000000" w:usb2="00000000" w:usb3="00000000" w:csb0="600000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汉仪中秀体简">
    <w:panose1 w:val="00020600040101010101"/>
    <w:charset w:val="86"/>
    <w:family w:val="auto"/>
    <w:pitch w:val="default"/>
    <w:sig w:usb0="A00002BF" w:usb1="1ACF7CFA" w:usb2="00000016" w:usb3="00000000" w:csb0="0004009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308"/>
  <w:drawingGridVerticalSpacing w:val="296"/>
  <w:displayHorizontalDrawingGridEvery w:val="1"/>
  <w:displayVerticalDrawingGridEvery w:val="1"/>
  <w:noPunctuationKerning w:val="true"/>
  <w:characterSpacingControl w:val="doNotCompress"/>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VjMTFhZjgxOGU1Yzc2ZjJjOGQ3YzQzNmFlMWYwNGYifQ=="/>
  </w:docVars>
  <w:rsids>
    <w:rsidRoot w:val="00172A27"/>
    <w:rsid w:val="000D437F"/>
    <w:rsid w:val="00145BFD"/>
    <w:rsid w:val="001D42FD"/>
    <w:rsid w:val="001E3A4B"/>
    <w:rsid w:val="00297C3E"/>
    <w:rsid w:val="002F1DCB"/>
    <w:rsid w:val="00413115"/>
    <w:rsid w:val="0044202F"/>
    <w:rsid w:val="005636A1"/>
    <w:rsid w:val="00765870"/>
    <w:rsid w:val="007E7215"/>
    <w:rsid w:val="008B478F"/>
    <w:rsid w:val="008C4808"/>
    <w:rsid w:val="008D16FC"/>
    <w:rsid w:val="009F4554"/>
    <w:rsid w:val="00AE2F91"/>
    <w:rsid w:val="00C03CDE"/>
    <w:rsid w:val="00C74540"/>
    <w:rsid w:val="00D744D7"/>
    <w:rsid w:val="00D75FC9"/>
    <w:rsid w:val="00E1098A"/>
    <w:rsid w:val="00E11A99"/>
    <w:rsid w:val="01EF4018"/>
    <w:rsid w:val="03351EC8"/>
    <w:rsid w:val="06242DA0"/>
    <w:rsid w:val="08164A7D"/>
    <w:rsid w:val="09710115"/>
    <w:rsid w:val="09E40A87"/>
    <w:rsid w:val="0A59017F"/>
    <w:rsid w:val="0B3D45EB"/>
    <w:rsid w:val="0BEE25BF"/>
    <w:rsid w:val="0E110646"/>
    <w:rsid w:val="0FFFD5DA"/>
    <w:rsid w:val="195837B1"/>
    <w:rsid w:val="19FB205F"/>
    <w:rsid w:val="1A2D2675"/>
    <w:rsid w:val="1C5F855E"/>
    <w:rsid w:val="1CA81D53"/>
    <w:rsid w:val="1CAB69CA"/>
    <w:rsid w:val="1E876431"/>
    <w:rsid w:val="1EDB3E3C"/>
    <w:rsid w:val="20A75D53"/>
    <w:rsid w:val="21717640"/>
    <w:rsid w:val="257F0F8E"/>
    <w:rsid w:val="2794239A"/>
    <w:rsid w:val="27BD4938"/>
    <w:rsid w:val="28627896"/>
    <w:rsid w:val="28BE22B1"/>
    <w:rsid w:val="2DFEB769"/>
    <w:rsid w:val="2E1D299E"/>
    <w:rsid w:val="2FD164A0"/>
    <w:rsid w:val="2FEF1DF0"/>
    <w:rsid w:val="317FC62F"/>
    <w:rsid w:val="32660FBD"/>
    <w:rsid w:val="33907B1A"/>
    <w:rsid w:val="33D71052"/>
    <w:rsid w:val="33FEF6CE"/>
    <w:rsid w:val="34151E56"/>
    <w:rsid w:val="350D6F9E"/>
    <w:rsid w:val="359648D0"/>
    <w:rsid w:val="367FB527"/>
    <w:rsid w:val="36DC45FD"/>
    <w:rsid w:val="37685418"/>
    <w:rsid w:val="379245B6"/>
    <w:rsid w:val="38F57587"/>
    <w:rsid w:val="39390FE6"/>
    <w:rsid w:val="3BD605AD"/>
    <w:rsid w:val="3BDF149E"/>
    <w:rsid w:val="3BEF3043"/>
    <w:rsid w:val="3CD2295B"/>
    <w:rsid w:val="3DB99198"/>
    <w:rsid w:val="3DBEA36E"/>
    <w:rsid w:val="3E993F40"/>
    <w:rsid w:val="3E9D2229"/>
    <w:rsid w:val="3EFD32D1"/>
    <w:rsid w:val="3F6F18DC"/>
    <w:rsid w:val="3FBE7A69"/>
    <w:rsid w:val="3FF5594E"/>
    <w:rsid w:val="3FF78D8C"/>
    <w:rsid w:val="40553667"/>
    <w:rsid w:val="40660C02"/>
    <w:rsid w:val="4107701C"/>
    <w:rsid w:val="43D3775B"/>
    <w:rsid w:val="46E375BD"/>
    <w:rsid w:val="473C009B"/>
    <w:rsid w:val="4A01338C"/>
    <w:rsid w:val="4B3B2B92"/>
    <w:rsid w:val="4CFF8E04"/>
    <w:rsid w:val="4DCD4A89"/>
    <w:rsid w:val="4E1D0693"/>
    <w:rsid w:val="4E9F4E1A"/>
    <w:rsid w:val="4F8744B3"/>
    <w:rsid w:val="4FA95763"/>
    <w:rsid w:val="4FFDA445"/>
    <w:rsid w:val="4FFF2E79"/>
    <w:rsid w:val="50CE8E9B"/>
    <w:rsid w:val="51751EEC"/>
    <w:rsid w:val="535C60A1"/>
    <w:rsid w:val="55132B08"/>
    <w:rsid w:val="55326586"/>
    <w:rsid w:val="56AE9DE8"/>
    <w:rsid w:val="57F34AF9"/>
    <w:rsid w:val="5A1F7757"/>
    <w:rsid w:val="5C871880"/>
    <w:rsid w:val="5D5666DC"/>
    <w:rsid w:val="5D7E12FE"/>
    <w:rsid w:val="5E1D1593"/>
    <w:rsid w:val="5E970A5E"/>
    <w:rsid w:val="5F3D4A25"/>
    <w:rsid w:val="5F5776B2"/>
    <w:rsid w:val="5F652610"/>
    <w:rsid w:val="5F7F6924"/>
    <w:rsid w:val="5FE71C99"/>
    <w:rsid w:val="5FEE06DB"/>
    <w:rsid w:val="63473919"/>
    <w:rsid w:val="64051E49"/>
    <w:rsid w:val="66BB9F56"/>
    <w:rsid w:val="6757FAC0"/>
    <w:rsid w:val="67894277"/>
    <w:rsid w:val="67DF73AE"/>
    <w:rsid w:val="692650DD"/>
    <w:rsid w:val="6AFBB93F"/>
    <w:rsid w:val="6B751BE4"/>
    <w:rsid w:val="6C7F0C76"/>
    <w:rsid w:val="6CFA64A7"/>
    <w:rsid w:val="6D7FA0D3"/>
    <w:rsid w:val="6DDB085D"/>
    <w:rsid w:val="6EBB958C"/>
    <w:rsid w:val="6EDF00FD"/>
    <w:rsid w:val="6FE7BAD3"/>
    <w:rsid w:val="6FF5D45B"/>
    <w:rsid w:val="71EF5B86"/>
    <w:rsid w:val="71FD43C9"/>
    <w:rsid w:val="721A6415"/>
    <w:rsid w:val="72CFF62D"/>
    <w:rsid w:val="73BBA6F3"/>
    <w:rsid w:val="73BFA492"/>
    <w:rsid w:val="74F9A6DB"/>
    <w:rsid w:val="752D6AE8"/>
    <w:rsid w:val="75FF7691"/>
    <w:rsid w:val="76F19098"/>
    <w:rsid w:val="771D5F04"/>
    <w:rsid w:val="772F87CC"/>
    <w:rsid w:val="77CF747E"/>
    <w:rsid w:val="77FEB3F5"/>
    <w:rsid w:val="77FF2CCE"/>
    <w:rsid w:val="78C431BC"/>
    <w:rsid w:val="78DB206F"/>
    <w:rsid w:val="78F1178B"/>
    <w:rsid w:val="79BD8D0A"/>
    <w:rsid w:val="7A836262"/>
    <w:rsid w:val="7AF9EC80"/>
    <w:rsid w:val="7B9FA4A6"/>
    <w:rsid w:val="7BBD9468"/>
    <w:rsid w:val="7BCE07AF"/>
    <w:rsid w:val="7BEF6B28"/>
    <w:rsid w:val="7BFDF49F"/>
    <w:rsid w:val="7BFF34B8"/>
    <w:rsid w:val="7CAB4D9F"/>
    <w:rsid w:val="7CFB2A93"/>
    <w:rsid w:val="7DEF4AD8"/>
    <w:rsid w:val="7DF78BE2"/>
    <w:rsid w:val="7DFEC10E"/>
    <w:rsid w:val="7E4FCF43"/>
    <w:rsid w:val="7E5B58F8"/>
    <w:rsid w:val="7E7FA71B"/>
    <w:rsid w:val="7E9A9104"/>
    <w:rsid w:val="7ED7B421"/>
    <w:rsid w:val="7EF67410"/>
    <w:rsid w:val="7EFF0BA3"/>
    <w:rsid w:val="7F104584"/>
    <w:rsid w:val="7F5D221F"/>
    <w:rsid w:val="7F79F41B"/>
    <w:rsid w:val="7F7E5CE3"/>
    <w:rsid w:val="7FDFD248"/>
    <w:rsid w:val="7FE70146"/>
    <w:rsid w:val="7FE87B4F"/>
    <w:rsid w:val="7FEF41C4"/>
    <w:rsid w:val="7FEF6899"/>
    <w:rsid w:val="7FEFD2FE"/>
    <w:rsid w:val="7FF73B11"/>
    <w:rsid w:val="7FF7BE74"/>
    <w:rsid w:val="7FFCB54B"/>
    <w:rsid w:val="7FFEFED3"/>
    <w:rsid w:val="7FFF2532"/>
    <w:rsid w:val="7FFF5FF8"/>
    <w:rsid w:val="8B97E748"/>
    <w:rsid w:val="8EF74261"/>
    <w:rsid w:val="959FCE95"/>
    <w:rsid w:val="9B8EBBBC"/>
    <w:rsid w:val="9B966C2F"/>
    <w:rsid w:val="9F2D6E41"/>
    <w:rsid w:val="9FC58208"/>
    <w:rsid w:val="AAF292EA"/>
    <w:rsid w:val="ABCD4770"/>
    <w:rsid w:val="AD762F8A"/>
    <w:rsid w:val="AEDF5695"/>
    <w:rsid w:val="AEFFF29A"/>
    <w:rsid w:val="AFEF9FD2"/>
    <w:rsid w:val="AFF1E915"/>
    <w:rsid w:val="AFFE11DB"/>
    <w:rsid w:val="B7DF33DF"/>
    <w:rsid w:val="BB5D801B"/>
    <w:rsid w:val="BCFF61FE"/>
    <w:rsid w:val="BDAB0E92"/>
    <w:rsid w:val="BDFFE1B5"/>
    <w:rsid w:val="BEB9CFD2"/>
    <w:rsid w:val="BEF740F0"/>
    <w:rsid w:val="BEFC8B96"/>
    <w:rsid w:val="BEFCABD4"/>
    <w:rsid w:val="BF5E2DA6"/>
    <w:rsid w:val="BFB76C3D"/>
    <w:rsid w:val="BFB9D406"/>
    <w:rsid w:val="BFDAFB73"/>
    <w:rsid w:val="BFE6F4BF"/>
    <w:rsid w:val="BFEDDF2F"/>
    <w:rsid w:val="BFF7AC4C"/>
    <w:rsid w:val="BFFE2B90"/>
    <w:rsid w:val="C7EE01FA"/>
    <w:rsid w:val="C7FFC599"/>
    <w:rsid w:val="CDEA0843"/>
    <w:rsid w:val="CEFE593D"/>
    <w:rsid w:val="CFEFF1CE"/>
    <w:rsid w:val="D2FFABD7"/>
    <w:rsid w:val="D5EF4410"/>
    <w:rsid w:val="D76DC47C"/>
    <w:rsid w:val="D7D124BC"/>
    <w:rsid w:val="DABEAA70"/>
    <w:rsid w:val="DB9C0489"/>
    <w:rsid w:val="DF0F2375"/>
    <w:rsid w:val="DF4E95F1"/>
    <w:rsid w:val="DF7F5B67"/>
    <w:rsid w:val="DFF9E57A"/>
    <w:rsid w:val="E35D2CD5"/>
    <w:rsid w:val="E5A28AB9"/>
    <w:rsid w:val="E76B56F8"/>
    <w:rsid w:val="E7FE2B5C"/>
    <w:rsid w:val="E9BFE1BA"/>
    <w:rsid w:val="EBF29A7F"/>
    <w:rsid w:val="EEBF0809"/>
    <w:rsid w:val="EEFFFE74"/>
    <w:rsid w:val="EFB451A8"/>
    <w:rsid w:val="EFFFC0A7"/>
    <w:rsid w:val="F1CF770F"/>
    <w:rsid w:val="F3C57BEA"/>
    <w:rsid w:val="F5BF953D"/>
    <w:rsid w:val="F6F77B61"/>
    <w:rsid w:val="F6FF6D63"/>
    <w:rsid w:val="F75D3CC4"/>
    <w:rsid w:val="F75DD3ED"/>
    <w:rsid w:val="F75E29C3"/>
    <w:rsid w:val="F75F2382"/>
    <w:rsid w:val="F777225A"/>
    <w:rsid w:val="F7BFE90F"/>
    <w:rsid w:val="F7DF8381"/>
    <w:rsid w:val="F7FC206D"/>
    <w:rsid w:val="F7FDEA2E"/>
    <w:rsid w:val="F8F78038"/>
    <w:rsid w:val="F9F677AF"/>
    <w:rsid w:val="FA6C5958"/>
    <w:rsid w:val="FA6F7959"/>
    <w:rsid w:val="FABEC970"/>
    <w:rsid w:val="FBB7A929"/>
    <w:rsid w:val="FBC73761"/>
    <w:rsid w:val="FBCAEAD6"/>
    <w:rsid w:val="FBF77FD9"/>
    <w:rsid w:val="FBFF9D16"/>
    <w:rsid w:val="FBFFC30A"/>
    <w:rsid w:val="FC361A32"/>
    <w:rsid w:val="FCF278AA"/>
    <w:rsid w:val="FCF9E245"/>
    <w:rsid w:val="FD1F2CD7"/>
    <w:rsid w:val="FDAE6C0B"/>
    <w:rsid w:val="FDEA3D4F"/>
    <w:rsid w:val="FDFF36C1"/>
    <w:rsid w:val="FDFFACF8"/>
    <w:rsid w:val="FED33964"/>
    <w:rsid w:val="FEE903A3"/>
    <w:rsid w:val="FEEEED59"/>
    <w:rsid w:val="FEEF5805"/>
    <w:rsid w:val="FF4D774F"/>
    <w:rsid w:val="FF9402D5"/>
    <w:rsid w:val="FFD6CBB2"/>
    <w:rsid w:val="FFDAF089"/>
    <w:rsid w:val="FFDC167D"/>
    <w:rsid w:val="FFE217E4"/>
    <w:rsid w:val="FFE9C3EC"/>
    <w:rsid w:val="FFEF2238"/>
    <w:rsid w:val="FFEF8AC4"/>
    <w:rsid w:val="FFFB6401"/>
    <w:rsid w:val="FFFBB9B7"/>
    <w:rsid w:val="FFFF20BA"/>
    <w:rsid w:val="FFFF2880"/>
    <w:rsid w:val="FFFF513E"/>
    <w:rsid w:val="FFFF55BB"/>
    <w:rsid w:val="FFFFA37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topLinePunct/>
      <w:adjustRightInd w:val="0"/>
      <w:jc w:val="both"/>
    </w:pPr>
    <w:rPr>
      <w:rFonts w:ascii="Times New Roman" w:hAnsi="Times New Roman" w:eastAsia="仿宋" w:cs="Times New Roman"/>
      <w:spacing w:val="-6"/>
      <w:kern w:val="2"/>
      <w:sz w:val="32"/>
      <w:szCs w:val="32"/>
      <w:lang w:val="en-US" w:eastAsia="zh-CN" w:bidi="ar-SA"/>
    </w:rPr>
  </w:style>
  <w:style w:type="paragraph" w:styleId="2">
    <w:name w:val="heading 1"/>
    <w:next w:val="1"/>
    <w:qFormat/>
    <w:uiPriority w:val="9"/>
    <w:pPr>
      <w:keepNext w:val="0"/>
      <w:keepLines w:val="0"/>
      <w:widowControl w:val="0"/>
      <w:overflowPunct w:val="0"/>
      <w:topLinePunct/>
      <w:spacing w:beforeLines="0" w:beforeAutospacing="0" w:afterLines="0" w:afterAutospacing="0" w:line="240" w:lineRule="auto"/>
      <w:jc w:val="both"/>
      <w:outlineLvl w:val="0"/>
    </w:pPr>
    <w:rPr>
      <w:rFonts w:ascii="Times New Roman" w:hAnsi="Times New Roman" w:eastAsia="黑体" w:cs="Times New Roman"/>
      <w:kern w:val="2"/>
      <w:sz w:val="32"/>
      <w:szCs w:val="32"/>
    </w:rPr>
  </w:style>
  <w:style w:type="paragraph" w:styleId="3">
    <w:name w:val="heading 2"/>
    <w:next w:val="1"/>
    <w:unhideWhenUsed/>
    <w:qFormat/>
    <w:uiPriority w:val="9"/>
    <w:pPr>
      <w:keepNext w:val="0"/>
      <w:keepLines w:val="0"/>
      <w:widowControl w:val="0"/>
      <w:overflowPunct w:val="0"/>
      <w:topLinePunct/>
      <w:spacing w:beforeLines="0" w:beforeAutospacing="0" w:afterLines="0" w:afterAutospacing="0" w:line="240" w:lineRule="auto"/>
      <w:jc w:val="both"/>
      <w:outlineLvl w:val="1"/>
    </w:pPr>
    <w:rPr>
      <w:rFonts w:ascii="Times New Roman" w:hAnsi="Arial" w:eastAsia="楷体" w:cs="Times New Roman"/>
      <w:kern w:val="2"/>
      <w:sz w:val="32"/>
      <w:szCs w:val="32"/>
    </w:rPr>
  </w:style>
  <w:style w:type="paragraph" w:styleId="4">
    <w:name w:val="heading 3"/>
    <w:next w:val="1"/>
    <w:unhideWhenUsed/>
    <w:qFormat/>
    <w:uiPriority w:val="9"/>
    <w:pPr>
      <w:keepNext w:val="0"/>
      <w:keepLines w:val="0"/>
      <w:widowControl w:val="0"/>
      <w:overflowPunct w:val="0"/>
      <w:topLinePunct/>
      <w:spacing w:beforeLines="0" w:beforeAutospacing="0" w:afterLines="0" w:afterAutospacing="0" w:line="240" w:lineRule="auto"/>
      <w:jc w:val="both"/>
      <w:outlineLvl w:val="2"/>
    </w:pPr>
    <w:rPr>
      <w:rFonts w:ascii="Times New Roman" w:hAnsi="Times New Roman" w:eastAsia="仿宋" w:cs="Times New Roman"/>
      <w:kern w:val="2"/>
      <w:sz w:val="32"/>
      <w:szCs w:val="32"/>
    </w:rPr>
  </w:style>
  <w:style w:type="paragraph" w:styleId="5">
    <w:name w:val="heading 4"/>
    <w:next w:val="1"/>
    <w:unhideWhenUsed/>
    <w:qFormat/>
    <w:uiPriority w:val="9"/>
    <w:pPr>
      <w:keepNext w:val="0"/>
      <w:keepLines w:val="0"/>
      <w:widowControl w:val="0"/>
      <w:overflowPunct w:val="0"/>
      <w:topLinePunct/>
      <w:spacing w:beforeLines="0" w:beforeAutospacing="0" w:afterLines="0" w:afterAutospacing="0" w:line="240" w:lineRule="auto"/>
      <w:jc w:val="both"/>
      <w:outlineLvl w:val="3"/>
    </w:pPr>
    <w:rPr>
      <w:rFonts w:ascii="Times New Roman" w:hAnsi="Arial" w:eastAsia="仿宋" w:cs="Times New Roman"/>
      <w:kern w:val="2"/>
      <w:sz w:val="32"/>
      <w:szCs w:val="32"/>
    </w:rPr>
  </w:style>
  <w:style w:type="character" w:default="1" w:styleId="12">
    <w:name w:val="Default Paragraph Font"/>
    <w:qFormat/>
    <w:uiPriority w:val="0"/>
  </w:style>
  <w:style w:type="table" w:default="1" w:styleId="10">
    <w:name w:val="Normal Table"/>
    <w:unhideWhenUsed/>
    <w:qFormat/>
    <w:uiPriority w:val="99"/>
    <w:tblPr>
      <w:tblCellMar>
        <w:top w:w="0" w:type="dxa"/>
        <w:left w:w="108" w:type="dxa"/>
        <w:bottom w:w="0" w:type="dxa"/>
        <w:right w:w="108" w:type="dxa"/>
      </w:tblCellMar>
    </w:tblPr>
  </w:style>
  <w:style w:type="paragraph" w:styleId="6">
    <w:name w:val="Plain Text"/>
    <w:basedOn w:val="1"/>
    <w:qFormat/>
    <w:uiPriority w:val="0"/>
    <w:pPr>
      <w:overflowPunct/>
      <w:snapToGrid/>
      <w:spacing w:line="240" w:lineRule="auto"/>
      <w:ind w:firstLine="0" w:firstLineChars="0"/>
    </w:pPr>
    <w:rPr>
      <w:rFonts w:ascii="宋体" w:hAnsi="Courier New" w:eastAsia="宋体" w:cs="Courier New"/>
      <w:sz w:val="21"/>
      <w:szCs w:val="21"/>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9">
    <w:name w:val="Normal (Web)"/>
    <w:basedOn w:val="1"/>
    <w:unhideWhenUsed/>
    <w:qFormat/>
    <w:uiPriority w:val="99"/>
    <w:pPr>
      <w:spacing w:before="100" w:beforeAutospacing="1" w:after="100" w:afterAutospacing="1"/>
      <w:ind w:left="0" w:right="0"/>
      <w:jc w:val="left"/>
    </w:pPr>
    <w:rPr>
      <w:kern w:val="0"/>
      <w:sz w:val="24"/>
      <w:lang w:val="en-US" w:eastAsia="zh-CN" w:bidi="ar"/>
    </w:rPr>
  </w:style>
  <w:style w:type="table" w:styleId="11">
    <w:name w:val="Table Grid"/>
    <w:basedOn w:val="10"/>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rPr>
  </w:style>
  <w:style w:type="character" w:styleId="14">
    <w:name w:val="page number"/>
    <w:basedOn w:val="12"/>
    <w:unhideWhenUsed/>
    <w:qFormat/>
    <w:uiPriority w:val="99"/>
  </w:style>
  <w:style w:type="character" w:styleId="15">
    <w:name w:val="Emphasis"/>
    <w:basedOn w:val="12"/>
    <w:qFormat/>
    <w:uiPriority w:val="20"/>
    <w:rPr>
      <w:i/>
    </w:rPr>
  </w:style>
  <w:style w:type="character" w:styleId="16">
    <w:name w:val="Hyperlink"/>
    <w:basedOn w:val="12"/>
    <w:qFormat/>
    <w:uiPriority w:val="0"/>
    <w:rPr>
      <w:rFonts w:hint="eastAsia" w:ascii="微软雅黑" w:hAnsi="微软雅黑" w:eastAsia="微软雅黑" w:cs="微软雅黑"/>
      <w:color w:val="000000"/>
      <w:sz w:val="14"/>
      <w:szCs w:val="14"/>
      <w:u w:val="none"/>
    </w:rPr>
  </w:style>
  <w:style w:type="paragraph" w:customStyle="1" w:styleId="17">
    <w:name w:val="Plain Text"/>
    <w:basedOn w:val="1"/>
    <w:qFormat/>
    <w:uiPriority w:val="0"/>
    <w:pPr>
      <w:widowControl w:val="0"/>
      <w:jc w:val="both"/>
    </w:pPr>
    <w:rPr>
      <w:rFonts w:ascii="宋体" w:hAnsi="Courier New" w:eastAsia="宋体" w:cs="Times New Roman"/>
      <w:szCs w:val="20"/>
    </w:rPr>
  </w:style>
  <w:style w:type="paragraph" w:customStyle="1" w:styleId="18">
    <w:name w:val="附件栏"/>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2218</Words>
  <Characters>2282</Characters>
  <Lines>8</Lines>
  <Paragraphs>2</Paragraphs>
  <TotalTime>3</TotalTime>
  <ScaleCrop>false</ScaleCrop>
  <LinksUpToDate>false</LinksUpToDate>
  <CharactersWithSpaces>2296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2012-06-09T09:30:00Z</dcterms:created>
  <dc:creator>Administrator</dc:creator>
  <cp:lastModifiedBy>szfxm</cp:lastModifiedBy>
  <cp:lastPrinted>2024-04-10T01:55:00Z</cp:lastPrinted>
  <dcterms:modified xsi:type="dcterms:W3CDTF">2024-08-07T14:41:45Z</dcterms:modified>
  <dc:title>关于废止《徐州市寄递业治安管理办法》的请示</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7A1BB8B11AD040F68F70ABA16927CF43_13</vt:lpwstr>
  </property>
</Properties>
</file>