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CEE300">
      <w:pPr>
        <w:spacing w:line="700" w:lineRule="exact"/>
        <w:jc w:val="center"/>
        <w:rPr>
          <w:rFonts w:hint="eastAsia" w:ascii="方正小标宋_GBK" w:hAnsi="宋体" w:eastAsia="方正小标宋_GBK" w:cs="宋体"/>
          <w:sz w:val="44"/>
          <w:szCs w:val="44"/>
        </w:rPr>
      </w:pPr>
      <w:r>
        <w:rPr>
          <w:rFonts w:hint="eastAsia" w:ascii="方正小标宋_GBK" w:hAnsi="宋体" w:eastAsia="方正小标宋_GBK" w:cs="宋体"/>
          <w:sz w:val="44"/>
          <w:szCs w:val="44"/>
        </w:rPr>
        <w:t>泰兴市2024年农机购置与应用补贴</w:t>
      </w:r>
    </w:p>
    <w:p w14:paraId="53E73F61">
      <w:pPr>
        <w:spacing w:line="276" w:lineRule="auto"/>
        <w:jc w:val="center"/>
        <w:rPr>
          <w:rFonts w:hint="eastAsia" w:ascii="方正小标宋_GBK" w:hAnsi="宋体" w:eastAsia="方正小标宋_GBK" w:cs="宋体"/>
          <w:sz w:val="44"/>
          <w:szCs w:val="44"/>
        </w:rPr>
      </w:pPr>
      <w:r>
        <w:rPr>
          <w:rFonts w:hint="eastAsia" w:ascii="方正小标宋_GBK" w:hAnsi="宋体" w:eastAsia="方正小标宋_GBK" w:cs="宋体"/>
          <w:sz w:val="44"/>
          <w:szCs w:val="44"/>
        </w:rPr>
        <w:t>工作情况报告</w:t>
      </w:r>
    </w:p>
    <w:p w14:paraId="57AFCA40">
      <w:pPr>
        <w:rPr>
          <w:rFonts w:ascii="仿宋_GB2312" w:hAnsi="仿宋" w:eastAsia="仿宋_GB2312"/>
          <w:sz w:val="32"/>
          <w:szCs w:val="32"/>
        </w:rPr>
      </w:pPr>
    </w:p>
    <w:p w14:paraId="0DEECADA">
      <w:pPr>
        <w:ind w:firstLine="632" w:firstLineChars="200"/>
        <w:rPr>
          <w:rFonts w:ascii="仿宋_GB2312" w:hAnsi="仿宋" w:eastAsia="仿宋_GB2312"/>
          <w:sz w:val="32"/>
          <w:szCs w:val="32"/>
        </w:rPr>
      </w:pPr>
      <w:r>
        <w:rPr>
          <w:rFonts w:hint="eastAsia" w:ascii="仿宋_GB2312" w:hAnsi="仿宋" w:eastAsia="仿宋_GB2312"/>
          <w:sz w:val="32"/>
          <w:szCs w:val="32"/>
        </w:rPr>
        <w:t>2024年，在省厅</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市局</w:t>
      </w:r>
      <w:r>
        <w:rPr>
          <w:rFonts w:hint="eastAsia" w:ascii="仿宋_GB2312" w:hAnsi="仿宋" w:eastAsia="仿宋_GB2312"/>
          <w:sz w:val="32"/>
          <w:szCs w:val="32"/>
        </w:rPr>
        <w:t>的</w:t>
      </w:r>
      <w:r>
        <w:rPr>
          <w:rFonts w:hint="eastAsia" w:ascii="仿宋_GB2312" w:hAnsi="仿宋" w:eastAsia="仿宋_GB2312"/>
          <w:sz w:val="32"/>
          <w:szCs w:val="32"/>
          <w:lang w:val="en-US" w:eastAsia="zh-CN"/>
        </w:rPr>
        <w:t>正确</w:t>
      </w:r>
      <w:r>
        <w:rPr>
          <w:rFonts w:hint="eastAsia" w:ascii="仿宋_GB2312" w:hAnsi="仿宋" w:eastAsia="仿宋_GB2312"/>
          <w:sz w:val="32"/>
          <w:szCs w:val="32"/>
        </w:rPr>
        <w:t>领导</w:t>
      </w:r>
      <w:r>
        <w:rPr>
          <w:rFonts w:hint="eastAsia" w:ascii="仿宋_GB2312" w:hAnsi="仿宋" w:eastAsia="仿宋_GB2312"/>
          <w:sz w:val="32"/>
          <w:szCs w:val="32"/>
          <w:lang w:val="en-US" w:eastAsia="zh-CN"/>
        </w:rPr>
        <w:t>和关心支持</w:t>
      </w:r>
      <w:r>
        <w:rPr>
          <w:rFonts w:hint="eastAsia" w:ascii="仿宋_GB2312" w:hAnsi="仿宋" w:eastAsia="仿宋_GB2312"/>
          <w:sz w:val="32"/>
          <w:szCs w:val="32"/>
        </w:rPr>
        <w:t>下，我局持续发挥政策效应，稳健推进农机购置补贴工作，紧紧围绕“保障粮食安全、助力乡村振兴”的目标，坚持“应补尽补、有序兑补、规范高效”的原则，切实保障农机惠民资金安全发放，推动全市农机化水平高质高效提升。现将工作情况报告如下。</w:t>
      </w:r>
    </w:p>
    <w:p w14:paraId="1CE8B941">
      <w:pPr>
        <w:pStyle w:val="9"/>
        <w:numPr>
          <w:ilvl w:val="0"/>
          <w:numId w:val="1"/>
        </w:numPr>
        <w:ind w:firstLineChars="0"/>
        <w:rPr>
          <w:rFonts w:ascii="黑体" w:hAnsi="黑体" w:eastAsia="黑体"/>
          <w:sz w:val="32"/>
          <w:szCs w:val="32"/>
        </w:rPr>
      </w:pPr>
      <w:r>
        <w:rPr>
          <w:rFonts w:hint="eastAsia" w:ascii="黑体" w:hAnsi="黑体" w:eastAsia="黑体"/>
          <w:sz w:val="32"/>
          <w:szCs w:val="32"/>
        </w:rPr>
        <w:t>资金情况</w:t>
      </w:r>
    </w:p>
    <w:p w14:paraId="717E4C8D">
      <w:pPr>
        <w:ind w:firstLine="632" w:firstLineChars="200"/>
        <w:rPr>
          <w:rFonts w:ascii="仿宋_GB2312" w:hAnsi="仿宋" w:eastAsia="仿宋_GB2312"/>
          <w:sz w:val="32"/>
          <w:szCs w:val="32"/>
        </w:rPr>
      </w:pPr>
      <w:r>
        <w:rPr>
          <w:rFonts w:ascii="仿宋_GB2312" w:hAnsi="仿宋" w:eastAsia="仿宋_GB2312"/>
          <w:sz w:val="32"/>
          <w:szCs w:val="32"/>
        </w:rPr>
        <w:t>202</w:t>
      </w:r>
      <w:r>
        <w:rPr>
          <w:rFonts w:hint="eastAsia" w:ascii="仿宋_GB2312" w:hAnsi="仿宋" w:eastAsia="仿宋_GB2312"/>
          <w:sz w:val="32"/>
          <w:szCs w:val="32"/>
        </w:rPr>
        <w:t>4</w:t>
      </w:r>
      <w:r>
        <w:rPr>
          <w:rFonts w:ascii="仿宋_GB2312" w:hAnsi="仿宋" w:eastAsia="仿宋_GB2312"/>
          <w:sz w:val="32"/>
          <w:szCs w:val="32"/>
        </w:rPr>
        <w:t>年，我局</w:t>
      </w:r>
      <w:r>
        <w:rPr>
          <w:rFonts w:hint="eastAsia" w:ascii="仿宋_GB2312" w:hAnsi="仿宋" w:eastAsia="仿宋_GB2312"/>
          <w:sz w:val="32"/>
          <w:szCs w:val="32"/>
          <w:lang w:val="en-US" w:eastAsia="zh-CN"/>
        </w:rPr>
        <w:t>结转上年结余</w:t>
      </w:r>
      <w:r>
        <w:rPr>
          <w:rFonts w:ascii="仿宋_GB2312" w:hAnsi="仿宋" w:eastAsia="仿宋_GB2312"/>
          <w:sz w:val="32"/>
          <w:szCs w:val="32"/>
        </w:rPr>
        <w:t>资金</w:t>
      </w:r>
      <w:r>
        <w:rPr>
          <w:rFonts w:hint="eastAsia" w:ascii="仿宋_GB2312" w:hAnsi="仿宋" w:eastAsia="仿宋_GB2312"/>
          <w:sz w:val="32"/>
          <w:szCs w:val="32"/>
        </w:rPr>
        <w:t>180.3681万</w:t>
      </w:r>
      <w:r>
        <w:rPr>
          <w:rFonts w:ascii="仿宋_GB2312" w:hAnsi="仿宋" w:eastAsia="仿宋_GB2312"/>
          <w:sz w:val="32"/>
          <w:szCs w:val="32"/>
        </w:rPr>
        <w:t>元</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省级</w:t>
      </w:r>
      <w:r>
        <w:rPr>
          <w:rFonts w:hint="eastAsia" w:ascii="仿宋_GB2312" w:hAnsi="仿宋" w:eastAsia="仿宋_GB2312"/>
          <w:sz w:val="32"/>
          <w:szCs w:val="32"/>
          <w:lang w:eastAsia="zh-CN"/>
        </w:rPr>
        <w:t>）</w:t>
      </w:r>
      <w:r>
        <w:rPr>
          <w:rFonts w:ascii="仿宋_GB2312" w:hAnsi="仿宋" w:eastAsia="仿宋_GB2312"/>
          <w:sz w:val="32"/>
          <w:szCs w:val="32"/>
        </w:rPr>
        <w:t>；接收省厅下达中央资金</w:t>
      </w:r>
      <w:r>
        <w:rPr>
          <w:rFonts w:hint="eastAsia" w:ascii="仿宋_GB2312" w:hAnsi="仿宋" w:eastAsia="仿宋_GB2312"/>
          <w:sz w:val="32"/>
          <w:szCs w:val="32"/>
        </w:rPr>
        <w:t>1701</w:t>
      </w:r>
      <w:r>
        <w:rPr>
          <w:rFonts w:ascii="仿宋_GB2312" w:hAnsi="仿宋" w:eastAsia="仿宋_GB2312"/>
          <w:sz w:val="32"/>
          <w:szCs w:val="32"/>
        </w:rPr>
        <w:t>万元</w:t>
      </w:r>
      <w:r>
        <w:rPr>
          <w:rFonts w:hint="eastAsia" w:ascii="仿宋_GB2312" w:hAnsi="仿宋" w:eastAsia="仿宋_GB2312"/>
          <w:sz w:val="32"/>
          <w:szCs w:val="32"/>
        </w:rPr>
        <w:t>，国债资金97万元，</w:t>
      </w:r>
      <w:r>
        <w:rPr>
          <w:rFonts w:ascii="仿宋_GB2312" w:hAnsi="仿宋" w:eastAsia="仿宋_GB2312"/>
          <w:sz w:val="32"/>
          <w:szCs w:val="32"/>
        </w:rPr>
        <w:t>省级资金7</w:t>
      </w:r>
      <w:r>
        <w:rPr>
          <w:rFonts w:hint="eastAsia" w:ascii="仿宋_GB2312" w:hAnsi="仿宋" w:eastAsia="仿宋_GB2312"/>
          <w:sz w:val="32"/>
          <w:szCs w:val="32"/>
        </w:rPr>
        <w:t>34</w:t>
      </w:r>
      <w:r>
        <w:rPr>
          <w:rFonts w:ascii="仿宋_GB2312" w:hAnsi="仿宋" w:eastAsia="仿宋_GB2312"/>
          <w:sz w:val="32"/>
          <w:szCs w:val="32"/>
        </w:rPr>
        <w:t>万元。</w:t>
      </w:r>
      <w:r>
        <w:rPr>
          <w:rFonts w:hint="eastAsia" w:ascii="仿宋_GB2312" w:hAnsi="仿宋" w:eastAsia="仿宋_GB2312"/>
          <w:sz w:val="32"/>
          <w:szCs w:val="32"/>
        </w:rPr>
        <w:t>共计可用资金2712.3681</w:t>
      </w:r>
      <w:r>
        <w:rPr>
          <w:rFonts w:ascii="仿宋_GB2312" w:hAnsi="仿宋" w:eastAsia="仿宋_GB2312"/>
          <w:sz w:val="32"/>
          <w:szCs w:val="32"/>
        </w:rPr>
        <w:t>万元。</w:t>
      </w:r>
      <w:r>
        <w:rPr>
          <w:rFonts w:hint="eastAsia" w:ascii="仿宋_GB2312" w:hAnsi="仿宋" w:eastAsia="仿宋_GB2312"/>
          <w:sz w:val="32"/>
          <w:szCs w:val="32"/>
        </w:rPr>
        <w:t>截至2024年12月5日，</w:t>
      </w:r>
      <w:r>
        <w:rPr>
          <w:rFonts w:ascii="仿宋_GB2312" w:hAnsi="仿宋" w:eastAsia="仿宋_GB2312"/>
          <w:sz w:val="32"/>
          <w:szCs w:val="32"/>
        </w:rPr>
        <w:t>共兑付补贴资金</w:t>
      </w:r>
      <w:r>
        <w:rPr>
          <w:rFonts w:hint="eastAsia" w:ascii="仿宋_GB2312" w:hAnsi="仿宋" w:eastAsia="仿宋_GB2312"/>
          <w:sz w:val="32"/>
          <w:szCs w:val="32"/>
          <w:lang w:val="en-US" w:eastAsia="zh-CN"/>
        </w:rPr>
        <w:t>1939.458</w:t>
      </w:r>
      <w:r>
        <w:rPr>
          <w:rFonts w:ascii="仿宋_GB2312" w:hAnsi="仿宋" w:eastAsia="仿宋_GB2312"/>
          <w:sz w:val="32"/>
          <w:szCs w:val="32"/>
        </w:rPr>
        <w:t>万元</w:t>
      </w:r>
      <w:r>
        <w:rPr>
          <w:rFonts w:hint="eastAsia" w:ascii="仿宋_GB2312" w:hAnsi="仿宋" w:eastAsia="仿宋_GB2312"/>
          <w:sz w:val="32"/>
          <w:szCs w:val="32"/>
        </w:rPr>
        <w:t>，具体</w:t>
      </w:r>
      <w:r>
        <w:rPr>
          <w:rFonts w:ascii="仿宋_GB2312" w:hAnsi="仿宋" w:eastAsia="仿宋_GB2312"/>
          <w:sz w:val="32"/>
          <w:szCs w:val="32"/>
        </w:rPr>
        <w:t>情况如下：</w:t>
      </w:r>
    </w:p>
    <w:p w14:paraId="154BC42C">
      <w:pPr>
        <w:ind w:firstLine="632" w:firstLineChars="200"/>
        <w:rPr>
          <w:rFonts w:ascii="仿宋_GB2312" w:hAnsi="仿宋" w:eastAsia="仿宋_GB2312"/>
          <w:sz w:val="32"/>
          <w:szCs w:val="32"/>
        </w:rPr>
      </w:pPr>
      <w:r>
        <w:rPr>
          <w:rFonts w:hint="eastAsia" w:ascii="仿宋_GB2312" w:hAnsi="仿宋" w:eastAsia="仿宋_GB2312"/>
          <w:sz w:val="32"/>
          <w:szCs w:val="32"/>
        </w:rPr>
        <w:t>（一）</w:t>
      </w:r>
      <w:r>
        <w:rPr>
          <w:rFonts w:ascii="仿宋_GB2312" w:hAnsi="仿宋" w:eastAsia="仿宋_GB2312"/>
          <w:sz w:val="32"/>
          <w:szCs w:val="32"/>
        </w:rPr>
        <w:t>202</w:t>
      </w:r>
      <w:r>
        <w:rPr>
          <w:rFonts w:hint="eastAsia" w:ascii="仿宋_GB2312" w:hAnsi="仿宋" w:eastAsia="仿宋_GB2312"/>
          <w:sz w:val="32"/>
          <w:szCs w:val="32"/>
          <w:lang w:val="en-US" w:eastAsia="zh-CN"/>
        </w:rPr>
        <w:t>4</w:t>
      </w:r>
      <w:r>
        <w:rPr>
          <w:rFonts w:ascii="仿宋_GB2312" w:hAnsi="仿宋" w:eastAsia="仿宋_GB2312"/>
          <w:sz w:val="32"/>
          <w:szCs w:val="32"/>
        </w:rPr>
        <w:t>年3月兑付资金</w:t>
      </w:r>
      <w:r>
        <w:rPr>
          <w:rFonts w:hint="eastAsia" w:ascii="仿宋_GB2312" w:hAnsi="仿宋" w:eastAsia="仿宋_GB2312"/>
          <w:sz w:val="32"/>
          <w:szCs w:val="32"/>
        </w:rPr>
        <w:t>776.379</w:t>
      </w:r>
      <w:r>
        <w:rPr>
          <w:rFonts w:ascii="仿宋_GB2312" w:hAnsi="仿宋" w:eastAsia="仿宋_GB2312"/>
          <w:sz w:val="32"/>
          <w:szCs w:val="32"/>
        </w:rPr>
        <w:t>万元，</w:t>
      </w:r>
      <w:r>
        <w:rPr>
          <w:rFonts w:hint="eastAsia" w:ascii="仿宋_GB2312" w:hAnsi="仿宋" w:eastAsia="仿宋_GB2312"/>
          <w:sz w:val="32"/>
          <w:szCs w:val="32"/>
        </w:rPr>
        <w:t>补贴农户313户次，补贴机具548台套。其中，兑付购置补贴757.589万元，补贴农户297户次，补贴机具530台套；兑付报废补贴18.79万元。</w:t>
      </w:r>
      <w:r>
        <w:rPr>
          <w:rFonts w:ascii="仿宋_GB2312" w:hAnsi="仿宋" w:eastAsia="仿宋_GB2312"/>
          <w:sz w:val="32"/>
          <w:szCs w:val="32"/>
        </w:rPr>
        <w:t>补贴农户</w:t>
      </w:r>
      <w:r>
        <w:rPr>
          <w:rFonts w:hint="eastAsia" w:ascii="仿宋_GB2312" w:hAnsi="仿宋" w:eastAsia="仿宋_GB2312"/>
          <w:sz w:val="32"/>
          <w:szCs w:val="32"/>
        </w:rPr>
        <w:t>16</w:t>
      </w:r>
      <w:r>
        <w:rPr>
          <w:rFonts w:ascii="仿宋_GB2312" w:hAnsi="仿宋" w:eastAsia="仿宋_GB2312"/>
          <w:sz w:val="32"/>
          <w:szCs w:val="32"/>
        </w:rPr>
        <w:t>户次，补贴机具</w:t>
      </w:r>
      <w:r>
        <w:rPr>
          <w:rFonts w:hint="eastAsia" w:ascii="仿宋_GB2312" w:hAnsi="仿宋" w:eastAsia="仿宋_GB2312"/>
          <w:sz w:val="32"/>
          <w:szCs w:val="32"/>
        </w:rPr>
        <w:t>18</w:t>
      </w:r>
      <w:r>
        <w:rPr>
          <w:rFonts w:ascii="仿宋_GB2312" w:hAnsi="仿宋" w:eastAsia="仿宋_GB2312"/>
          <w:sz w:val="32"/>
          <w:szCs w:val="32"/>
        </w:rPr>
        <w:t>台套。</w:t>
      </w:r>
    </w:p>
    <w:p w14:paraId="16B184B5">
      <w:pPr>
        <w:ind w:firstLine="632" w:firstLineChars="200"/>
        <w:rPr>
          <w:rFonts w:ascii="仿宋_GB2312" w:hAnsi="仿宋" w:eastAsia="仿宋_GB2312"/>
          <w:sz w:val="32"/>
          <w:szCs w:val="32"/>
        </w:rPr>
      </w:pPr>
      <w:r>
        <w:rPr>
          <w:rFonts w:hint="eastAsia" w:ascii="仿宋_GB2312" w:hAnsi="仿宋" w:eastAsia="仿宋_GB2312"/>
          <w:sz w:val="32"/>
          <w:szCs w:val="32"/>
        </w:rPr>
        <w:t>（二）</w:t>
      </w:r>
      <w:r>
        <w:rPr>
          <w:rFonts w:ascii="仿宋_GB2312" w:hAnsi="仿宋" w:eastAsia="仿宋_GB2312"/>
          <w:sz w:val="32"/>
          <w:szCs w:val="32"/>
        </w:rPr>
        <w:t>202</w:t>
      </w:r>
      <w:r>
        <w:rPr>
          <w:rFonts w:hint="eastAsia" w:ascii="仿宋_GB2312" w:hAnsi="仿宋" w:eastAsia="仿宋_GB2312"/>
          <w:sz w:val="32"/>
          <w:szCs w:val="32"/>
          <w:lang w:val="en-US" w:eastAsia="zh-CN"/>
        </w:rPr>
        <w:t>4</w:t>
      </w:r>
      <w:r>
        <w:rPr>
          <w:rFonts w:ascii="仿宋_GB2312" w:hAnsi="仿宋" w:eastAsia="仿宋_GB2312"/>
          <w:sz w:val="32"/>
          <w:szCs w:val="32"/>
        </w:rPr>
        <w:t>年</w:t>
      </w:r>
      <w:r>
        <w:rPr>
          <w:rFonts w:hint="eastAsia" w:ascii="仿宋_GB2312" w:hAnsi="仿宋" w:eastAsia="仿宋_GB2312"/>
          <w:sz w:val="32"/>
          <w:szCs w:val="32"/>
        </w:rPr>
        <w:t>9</w:t>
      </w:r>
      <w:r>
        <w:rPr>
          <w:rFonts w:ascii="仿宋_GB2312" w:hAnsi="仿宋" w:eastAsia="仿宋_GB2312"/>
          <w:sz w:val="32"/>
          <w:szCs w:val="32"/>
        </w:rPr>
        <w:t>月兑付资金</w:t>
      </w:r>
      <w:r>
        <w:rPr>
          <w:rFonts w:hint="eastAsia" w:ascii="仿宋_GB2312" w:hAnsi="仿宋" w:eastAsia="仿宋_GB2312"/>
          <w:sz w:val="32"/>
          <w:szCs w:val="32"/>
        </w:rPr>
        <w:t>703.29</w:t>
      </w:r>
      <w:r>
        <w:rPr>
          <w:rFonts w:ascii="仿宋_GB2312" w:hAnsi="仿宋" w:eastAsia="仿宋_GB2312"/>
          <w:sz w:val="32"/>
          <w:szCs w:val="32"/>
        </w:rPr>
        <w:t>万元，补贴农户2</w:t>
      </w:r>
      <w:r>
        <w:rPr>
          <w:rFonts w:hint="eastAsia" w:ascii="仿宋_GB2312" w:hAnsi="仿宋" w:eastAsia="仿宋_GB2312"/>
          <w:sz w:val="32"/>
          <w:szCs w:val="32"/>
        </w:rPr>
        <w:t>86</w:t>
      </w:r>
      <w:r>
        <w:rPr>
          <w:rFonts w:ascii="仿宋_GB2312" w:hAnsi="仿宋" w:eastAsia="仿宋_GB2312"/>
          <w:sz w:val="32"/>
          <w:szCs w:val="32"/>
        </w:rPr>
        <w:t>户次，补贴机具</w:t>
      </w:r>
      <w:r>
        <w:rPr>
          <w:rFonts w:hint="eastAsia" w:ascii="仿宋_GB2312" w:hAnsi="仿宋" w:eastAsia="仿宋_GB2312"/>
          <w:sz w:val="32"/>
          <w:szCs w:val="32"/>
        </w:rPr>
        <w:t>501</w:t>
      </w:r>
      <w:r>
        <w:rPr>
          <w:rFonts w:ascii="仿宋_GB2312" w:hAnsi="仿宋" w:eastAsia="仿宋_GB2312"/>
          <w:sz w:val="32"/>
          <w:szCs w:val="32"/>
        </w:rPr>
        <w:t>台套。</w:t>
      </w:r>
    </w:p>
    <w:p w14:paraId="333CDA7D">
      <w:pPr>
        <w:ind w:firstLine="632" w:firstLineChars="200"/>
        <w:rPr>
          <w:rFonts w:ascii="仿宋_GB2312" w:hAnsi="仿宋" w:eastAsia="仿宋_GB2312"/>
          <w:sz w:val="32"/>
          <w:szCs w:val="32"/>
        </w:rPr>
      </w:pPr>
      <w:r>
        <w:rPr>
          <w:rFonts w:hint="eastAsia" w:ascii="仿宋_GB2312" w:hAnsi="仿宋" w:eastAsia="仿宋_GB2312"/>
          <w:sz w:val="32"/>
          <w:szCs w:val="32"/>
        </w:rPr>
        <w:t>（三）</w:t>
      </w:r>
      <w:r>
        <w:rPr>
          <w:rFonts w:ascii="仿宋_GB2312" w:hAnsi="仿宋" w:eastAsia="仿宋_GB2312"/>
          <w:sz w:val="32"/>
          <w:szCs w:val="32"/>
        </w:rPr>
        <w:t>202</w:t>
      </w:r>
      <w:r>
        <w:rPr>
          <w:rFonts w:hint="eastAsia" w:ascii="仿宋_GB2312" w:hAnsi="仿宋" w:eastAsia="仿宋_GB2312"/>
          <w:sz w:val="32"/>
          <w:szCs w:val="32"/>
          <w:lang w:val="en-US" w:eastAsia="zh-CN"/>
        </w:rPr>
        <w:t>4</w:t>
      </w:r>
      <w:bookmarkStart w:id="0" w:name="_GoBack"/>
      <w:bookmarkEnd w:id="0"/>
      <w:r>
        <w:rPr>
          <w:rFonts w:ascii="仿宋_GB2312" w:hAnsi="仿宋" w:eastAsia="仿宋_GB2312"/>
          <w:sz w:val="32"/>
          <w:szCs w:val="32"/>
        </w:rPr>
        <w:t>年1</w:t>
      </w:r>
      <w:r>
        <w:rPr>
          <w:rFonts w:hint="eastAsia" w:ascii="仿宋_GB2312" w:hAnsi="仿宋" w:eastAsia="仿宋_GB2312"/>
          <w:sz w:val="32"/>
          <w:szCs w:val="32"/>
        </w:rPr>
        <w:t>2</w:t>
      </w:r>
      <w:r>
        <w:rPr>
          <w:rFonts w:ascii="仿宋_GB2312" w:hAnsi="仿宋" w:eastAsia="仿宋_GB2312"/>
          <w:sz w:val="32"/>
          <w:szCs w:val="32"/>
        </w:rPr>
        <w:t>月</w:t>
      </w:r>
      <w:r>
        <w:rPr>
          <w:rFonts w:hint="eastAsia" w:ascii="仿宋_GB2312" w:hAnsi="仿宋" w:eastAsia="仿宋_GB2312"/>
          <w:sz w:val="32"/>
          <w:szCs w:val="32"/>
        </w:rPr>
        <w:t>已向财政部门提交</w:t>
      </w:r>
      <w:r>
        <w:rPr>
          <w:rFonts w:ascii="仿宋_GB2312" w:hAnsi="仿宋" w:eastAsia="仿宋_GB2312"/>
          <w:sz w:val="32"/>
          <w:szCs w:val="32"/>
        </w:rPr>
        <w:t>资金</w:t>
      </w:r>
      <w:r>
        <w:rPr>
          <w:rFonts w:hint="eastAsia" w:ascii="仿宋_GB2312" w:hAnsi="仿宋" w:eastAsia="仿宋_GB2312"/>
          <w:sz w:val="32"/>
          <w:szCs w:val="32"/>
        </w:rPr>
        <w:t>兑付申请459.789</w:t>
      </w:r>
      <w:r>
        <w:rPr>
          <w:rFonts w:ascii="仿宋_GB2312" w:hAnsi="仿宋" w:eastAsia="仿宋_GB2312"/>
          <w:sz w:val="32"/>
          <w:szCs w:val="32"/>
        </w:rPr>
        <w:t>万元，补贴农户2</w:t>
      </w:r>
      <w:r>
        <w:rPr>
          <w:rFonts w:hint="eastAsia" w:ascii="仿宋_GB2312" w:hAnsi="仿宋" w:eastAsia="仿宋_GB2312"/>
          <w:sz w:val="32"/>
          <w:szCs w:val="32"/>
        </w:rPr>
        <w:t>34</w:t>
      </w:r>
      <w:r>
        <w:rPr>
          <w:rFonts w:ascii="仿宋_GB2312" w:hAnsi="仿宋" w:eastAsia="仿宋_GB2312"/>
          <w:sz w:val="32"/>
          <w:szCs w:val="32"/>
        </w:rPr>
        <w:t>户次，补贴机具3</w:t>
      </w:r>
      <w:r>
        <w:rPr>
          <w:rFonts w:hint="eastAsia" w:ascii="仿宋_GB2312" w:hAnsi="仿宋" w:eastAsia="仿宋_GB2312"/>
          <w:sz w:val="32"/>
          <w:szCs w:val="32"/>
        </w:rPr>
        <w:t>57</w:t>
      </w:r>
      <w:r>
        <w:rPr>
          <w:rFonts w:ascii="仿宋_GB2312" w:hAnsi="仿宋" w:eastAsia="仿宋_GB2312"/>
          <w:sz w:val="32"/>
          <w:szCs w:val="32"/>
        </w:rPr>
        <w:t>台套。</w:t>
      </w:r>
      <w:r>
        <w:rPr>
          <w:rFonts w:hint="eastAsia" w:ascii="仿宋_GB2312" w:hAnsi="仿宋" w:eastAsia="仿宋_GB2312"/>
          <w:sz w:val="32"/>
          <w:szCs w:val="32"/>
        </w:rPr>
        <w:t>其中，兑付购置补贴282.689万元，补贴农户113户次，补贴机具179台套；兑付报废补贴173.1万元。</w:t>
      </w:r>
      <w:r>
        <w:rPr>
          <w:rFonts w:ascii="仿宋_GB2312" w:hAnsi="仿宋" w:eastAsia="仿宋_GB2312"/>
          <w:sz w:val="32"/>
          <w:szCs w:val="32"/>
        </w:rPr>
        <w:t>补贴农户</w:t>
      </w:r>
      <w:r>
        <w:rPr>
          <w:rFonts w:hint="eastAsia" w:ascii="仿宋_GB2312" w:hAnsi="仿宋" w:eastAsia="仿宋_GB2312"/>
          <w:sz w:val="32"/>
          <w:szCs w:val="32"/>
        </w:rPr>
        <w:t>121</w:t>
      </w:r>
      <w:r>
        <w:rPr>
          <w:rFonts w:ascii="仿宋_GB2312" w:hAnsi="仿宋" w:eastAsia="仿宋_GB2312"/>
          <w:sz w:val="32"/>
          <w:szCs w:val="32"/>
        </w:rPr>
        <w:t>户次，补贴机具</w:t>
      </w:r>
      <w:r>
        <w:rPr>
          <w:rFonts w:hint="eastAsia" w:ascii="仿宋_GB2312" w:hAnsi="仿宋" w:eastAsia="仿宋_GB2312"/>
          <w:sz w:val="32"/>
          <w:szCs w:val="32"/>
        </w:rPr>
        <w:t>178</w:t>
      </w:r>
      <w:r>
        <w:rPr>
          <w:rFonts w:ascii="仿宋_GB2312" w:hAnsi="仿宋" w:eastAsia="仿宋_GB2312"/>
          <w:sz w:val="32"/>
          <w:szCs w:val="32"/>
        </w:rPr>
        <w:t>台套</w:t>
      </w:r>
      <w:r>
        <w:rPr>
          <w:rFonts w:hint="eastAsia" w:ascii="仿宋_GB2312" w:hAnsi="仿宋" w:eastAsia="仿宋_GB2312"/>
          <w:sz w:val="32"/>
          <w:szCs w:val="32"/>
        </w:rPr>
        <w:t>。</w:t>
      </w:r>
    </w:p>
    <w:p w14:paraId="1982C81C">
      <w:pPr>
        <w:ind w:firstLine="632" w:firstLineChars="200"/>
        <w:rPr>
          <w:rFonts w:hint="eastAsia" w:ascii="仿宋_GB2312" w:hAnsi="仿宋" w:eastAsia="仿宋_GB2312"/>
          <w:sz w:val="32"/>
          <w:szCs w:val="32"/>
        </w:rPr>
      </w:pPr>
      <w:r>
        <w:rPr>
          <w:rFonts w:hint="eastAsia" w:ascii="仿宋_GB2312" w:hAnsi="仿宋" w:eastAsia="仿宋_GB2312"/>
          <w:sz w:val="32"/>
          <w:szCs w:val="32"/>
        </w:rPr>
        <w:t>全年实现农机报废补贴兑付历年申请资金191.89万元，补贴机具196台套。完成省厅下达的资金和台数指标。</w:t>
      </w:r>
    </w:p>
    <w:p w14:paraId="076BF865">
      <w:pPr>
        <w:ind w:firstLine="632" w:firstLineChars="200"/>
        <w:rPr>
          <w:rFonts w:ascii="仿宋_GB2312" w:hAnsi="楷体" w:eastAsia="仿宋_GB2312"/>
          <w:sz w:val="32"/>
          <w:szCs w:val="32"/>
        </w:rPr>
      </w:pPr>
      <w:r>
        <w:rPr>
          <w:rFonts w:hint="eastAsia" w:ascii="仿宋_GB2312" w:hAnsi="楷体" w:eastAsia="仿宋_GB2312"/>
          <w:sz w:val="32"/>
          <w:szCs w:val="32"/>
        </w:rPr>
        <w:t>预计今年结余补贴资金共计772.9101万元，其中，中央资金77.9101万元，省级资金695万元。补贴资金暂不存在缺口</w:t>
      </w:r>
      <w:r>
        <w:rPr>
          <w:rFonts w:ascii="仿宋_GB2312" w:hAnsi="楷体" w:eastAsia="仿宋_GB2312"/>
          <w:sz w:val="32"/>
          <w:szCs w:val="32"/>
        </w:rPr>
        <w:t>。</w:t>
      </w:r>
    </w:p>
    <w:p w14:paraId="39EF6C41">
      <w:pPr>
        <w:pStyle w:val="9"/>
        <w:numPr>
          <w:ilvl w:val="0"/>
          <w:numId w:val="1"/>
        </w:numPr>
        <w:ind w:firstLineChars="0"/>
        <w:rPr>
          <w:rFonts w:ascii="黑体" w:hAnsi="黑体" w:eastAsia="黑体"/>
          <w:sz w:val="32"/>
          <w:szCs w:val="32"/>
        </w:rPr>
      </w:pPr>
      <w:r>
        <w:rPr>
          <w:rFonts w:hint="eastAsia" w:ascii="黑体" w:hAnsi="黑体" w:eastAsia="黑体"/>
          <w:sz w:val="32"/>
          <w:szCs w:val="32"/>
        </w:rPr>
        <w:t>主要工作内容</w:t>
      </w:r>
    </w:p>
    <w:p w14:paraId="3118DB9F">
      <w:pPr>
        <w:ind w:firstLine="632" w:firstLineChars="200"/>
        <w:rPr>
          <w:rFonts w:ascii="仿宋_GB2312" w:hAnsi="仿宋" w:eastAsia="仿宋_GB2312"/>
          <w:sz w:val="32"/>
          <w:szCs w:val="32"/>
        </w:rPr>
      </w:pPr>
      <w:r>
        <w:rPr>
          <w:rFonts w:hint="eastAsia" w:ascii="楷体" w:hAnsi="楷体" w:eastAsia="楷体"/>
          <w:sz w:val="32"/>
          <w:szCs w:val="32"/>
        </w:rPr>
        <w:t>（一）加强组织和制度建设。</w:t>
      </w:r>
      <w:r>
        <w:rPr>
          <w:rFonts w:hint="eastAsia" w:ascii="仿宋_GB2312" w:hAnsi="仿宋" w:eastAsia="仿宋_GB2312"/>
          <w:sz w:val="32"/>
          <w:szCs w:val="32"/>
        </w:rPr>
        <w:t>根据省厅农机购置补贴和农机报废更新补贴相关政策要求，结合我局农机补贴实际情况，分别细化制定《泰兴市大力实施农机报废更新补贴政策推动大规模设备更新工作的实施方案》和《泰兴市农机报废回收企业认定指南》、修订完善农机购置补贴内控制度，不断优化补贴办理流程，加强惠农补贴资金发放安全。</w:t>
      </w:r>
    </w:p>
    <w:p w14:paraId="4C4E57E8">
      <w:pPr>
        <w:ind w:firstLine="632" w:firstLineChars="200"/>
        <w:rPr>
          <w:rFonts w:ascii="仿宋_GB2312" w:hAnsi="仿宋" w:eastAsia="仿宋_GB2312"/>
          <w:sz w:val="32"/>
          <w:szCs w:val="32"/>
        </w:rPr>
      </w:pPr>
      <w:r>
        <w:rPr>
          <w:rFonts w:hint="eastAsia" w:ascii="楷体" w:hAnsi="楷体" w:eastAsia="楷体"/>
          <w:sz w:val="32"/>
          <w:szCs w:val="32"/>
        </w:rPr>
        <w:t>（二）扎实开展民生专项整治。</w:t>
      </w:r>
      <w:r>
        <w:rPr>
          <w:rFonts w:hint="eastAsia" w:ascii="仿宋_GB2312" w:hAnsi="仿宋" w:eastAsia="仿宋_GB2312"/>
          <w:sz w:val="32"/>
          <w:szCs w:val="32"/>
        </w:rPr>
        <w:t>根据省厅、纪委和泰州市局等部门要求，分别开展“整治乡村振兴领域形式主义为基层减负”、“农村集体‘三资’管理专项整治”、“群众身边不正之风和腐败问题集中整治”等专项整治工作，通过现场问询、机具核验、电话访谈等方式，抽查分界、珊瑚、元竹、古溪、河失、黄桥、新街等</w:t>
      </w:r>
      <w:r>
        <w:rPr>
          <w:rFonts w:ascii="仿宋_GB2312" w:hAnsi="仿宋" w:eastAsia="仿宋_GB2312"/>
          <w:sz w:val="32"/>
          <w:szCs w:val="32"/>
        </w:rPr>
        <w:t>14个乡镇，走访部分购机农户45户，电话询访农户28户，现场核验机具50台套，视频远程核验机具14台套。在推进基层减负方面，重点排查乡镇贯彻落实补贴政策、内控制度、补贴资料审核和机具核验中可能存在的形式主义、官僚主义；在作风整治和问题排查方面，重点排查违</w:t>
      </w:r>
      <w:r>
        <w:rPr>
          <w:rFonts w:hint="eastAsia" w:ascii="仿宋_GB2312" w:hAnsi="仿宋" w:eastAsia="仿宋_GB2312"/>
          <w:sz w:val="32"/>
          <w:szCs w:val="32"/>
        </w:rPr>
        <w:t>规进行补贴机具经营活动、吃拿卡要、优亲厚友、收受贿赂、参与骗套补贴等问题。同时，在全市范围内组织各乡镇对照农机购置补贴申办系统，检查</w:t>
      </w:r>
      <w:r>
        <w:rPr>
          <w:rFonts w:ascii="仿宋_GB2312" w:hAnsi="仿宋" w:eastAsia="仿宋_GB2312"/>
          <w:sz w:val="32"/>
          <w:szCs w:val="32"/>
        </w:rPr>
        <w:t>2022年以来的补贴申报资料和清册，检查2018年以来各级纪检审计巡视巡查发现问题的整改情况，梳理2020年以来农机购置补贴补贴申请和资金兑付情况；对存在异常可能的补贴申请（如财政供养人员申办农机购置补贴、同一地区同一型号机具销售价格差异过大、国三机具申办农机购置补贴等）即时开展调查。在压实经销企业责任方面，严查经销企业是否存在违规行为，抽查经销企业2家，检查经销企业参与补贴的</w:t>
      </w:r>
      <w:r>
        <w:rPr>
          <w:rFonts w:hint="eastAsia" w:ascii="仿宋_GB2312" w:hAnsi="仿宋" w:eastAsia="仿宋_GB2312"/>
          <w:sz w:val="32"/>
          <w:szCs w:val="32"/>
        </w:rPr>
        <w:t>资料台账、机具销售合同和农户购机的支付记录共</w:t>
      </w:r>
      <w:r>
        <w:rPr>
          <w:rFonts w:ascii="仿宋_GB2312" w:hAnsi="仿宋" w:eastAsia="仿宋_GB2312"/>
          <w:sz w:val="32"/>
          <w:szCs w:val="32"/>
        </w:rPr>
        <w:t>30份，确保农户购机真实、经销企业开票销售真实、经销企业规范参与农机购置补贴。</w:t>
      </w:r>
    </w:p>
    <w:p w14:paraId="0D036433">
      <w:pPr>
        <w:ind w:firstLine="632" w:firstLineChars="200"/>
        <w:rPr>
          <w:rFonts w:ascii="仿宋_GB2312" w:hAnsi="仿宋" w:eastAsia="仿宋_GB2312"/>
          <w:sz w:val="32"/>
          <w:szCs w:val="32"/>
        </w:rPr>
      </w:pPr>
      <w:r>
        <w:rPr>
          <w:rFonts w:hint="eastAsia" w:ascii="楷体" w:hAnsi="楷体" w:eastAsia="楷体"/>
          <w:sz w:val="32"/>
          <w:szCs w:val="32"/>
        </w:rPr>
        <w:t>（三）积极开展政策宣传和业务培训。</w:t>
      </w:r>
      <w:r>
        <w:rPr>
          <w:rFonts w:hint="eastAsia" w:ascii="仿宋_GB2312" w:eastAsia="仿宋_GB2312"/>
          <w:sz w:val="32"/>
          <w:szCs w:val="32"/>
        </w:rPr>
        <w:t>多次开展强化农机队伍业务能力和作风建设的会议，进一步提升农机条线队伍素质。常态化开展农机购置补贴和农机报废更新业务培训工作3次，培训条线工作人员和主要农户代表约400人次。同时，针对农用植保无人机的安全使用，组织了为期两天的安全操作培训。培训对象为</w:t>
      </w:r>
      <w:r>
        <w:rPr>
          <w:rFonts w:ascii="仿宋_GB2312" w:eastAsia="仿宋_GB2312"/>
          <w:sz w:val="32"/>
          <w:szCs w:val="32"/>
        </w:rPr>
        <w:t>60名已经取得农用植保无人机操作证的机手，</w:t>
      </w:r>
      <w:r>
        <w:rPr>
          <w:rFonts w:hint="eastAsia" w:ascii="仿宋_GB2312" w:eastAsia="仿宋_GB2312"/>
          <w:sz w:val="32"/>
          <w:szCs w:val="32"/>
        </w:rPr>
        <w:t>培训</w:t>
      </w:r>
      <w:r>
        <w:rPr>
          <w:rFonts w:ascii="仿宋_GB2312" w:eastAsia="仿宋_GB2312"/>
          <w:sz w:val="32"/>
          <w:szCs w:val="32"/>
        </w:rPr>
        <w:t>内容涵盖了无人机法律法规、性能特点、操作规范、安全飞行技巧、应急处置方法等方面。</w:t>
      </w:r>
      <w:r>
        <w:rPr>
          <w:rFonts w:hint="eastAsia" w:ascii="仿宋_GB2312" w:eastAsia="仿宋_GB2312"/>
          <w:sz w:val="32"/>
          <w:szCs w:val="32"/>
        </w:rPr>
        <w:t>通过</w:t>
      </w:r>
      <w:r>
        <w:rPr>
          <w:rFonts w:ascii="仿宋_GB2312" w:eastAsia="仿宋_GB2312"/>
          <w:sz w:val="32"/>
          <w:szCs w:val="32"/>
        </w:rPr>
        <w:t>实操演练，</w:t>
      </w:r>
      <w:r>
        <w:rPr>
          <w:rFonts w:hint="eastAsia" w:ascii="仿宋_GB2312" w:eastAsia="仿宋_GB2312"/>
          <w:sz w:val="32"/>
          <w:szCs w:val="32"/>
        </w:rPr>
        <w:t>也</w:t>
      </w:r>
      <w:r>
        <w:rPr>
          <w:rFonts w:ascii="仿宋_GB2312" w:eastAsia="仿宋_GB2312"/>
          <w:sz w:val="32"/>
          <w:szCs w:val="32"/>
        </w:rPr>
        <w:t>让机手在实际操作中加强</w:t>
      </w:r>
      <w:r>
        <w:rPr>
          <w:rFonts w:hint="eastAsia" w:ascii="仿宋_GB2312" w:eastAsia="仿宋_GB2312"/>
          <w:sz w:val="32"/>
          <w:szCs w:val="32"/>
        </w:rPr>
        <w:t>了对</w:t>
      </w:r>
      <w:r>
        <w:rPr>
          <w:rFonts w:ascii="仿宋_GB2312" w:eastAsia="仿宋_GB2312"/>
          <w:sz w:val="32"/>
          <w:szCs w:val="32"/>
        </w:rPr>
        <w:t>安全飞行技巧的掌握</w:t>
      </w:r>
      <w:r>
        <w:rPr>
          <w:rFonts w:hint="eastAsia" w:ascii="仿宋_GB2312" w:eastAsia="仿宋_GB2312"/>
          <w:sz w:val="32"/>
          <w:szCs w:val="32"/>
        </w:rPr>
        <w:t>，</w:t>
      </w:r>
      <w:r>
        <w:rPr>
          <w:rFonts w:ascii="仿宋_GB2312" w:eastAsia="仿宋_GB2312"/>
          <w:sz w:val="32"/>
          <w:szCs w:val="32"/>
        </w:rPr>
        <w:t>为农用植保无人机的安全使用提供了有力保障</w:t>
      </w:r>
      <w:r>
        <w:rPr>
          <w:rFonts w:hint="eastAsia" w:ascii="仿宋_GB2312" w:eastAsia="仿宋_GB2312"/>
          <w:sz w:val="32"/>
          <w:szCs w:val="32"/>
        </w:rPr>
        <w:t>。</w:t>
      </w:r>
    </w:p>
    <w:p w14:paraId="5627BF69">
      <w:pPr>
        <w:pStyle w:val="9"/>
        <w:numPr>
          <w:ilvl w:val="0"/>
          <w:numId w:val="1"/>
        </w:numPr>
        <w:ind w:firstLineChars="0"/>
        <w:rPr>
          <w:rFonts w:ascii="黑体" w:hAnsi="黑体" w:eastAsia="黑体"/>
          <w:sz w:val="32"/>
          <w:szCs w:val="32"/>
        </w:rPr>
      </w:pPr>
      <w:r>
        <w:rPr>
          <w:rFonts w:hint="eastAsia" w:ascii="黑体" w:hAnsi="黑体" w:eastAsia="黑体"/>
          <w:sz w:val="32"/>
          <w:szCs w:val="32"/>
        </w:rPr>
        <w:t>存在问题</w:t>
      </w:r>
    </w:p>
    <w:p w14:paraId="4DE6F28A">
      <w:pPr>
        <w:ind w:firstLine="632" w:firstLineChars="200"/>
        <w:rPr>
          <w:rFonts w:ascii="仿宋_GB2312" w:eastAsia="仿宋_GB2312"/>
          <w:sz w:val="32"/>
          <w:szCs w:val="32"/>
        </w:rPr>
      </w:pPr>
      <w:r>
        <w:rPr>
          <w:rFonts w:hint="eastAsia" w:ascii="仿宋_GB2312" w:eastAsia="仿宋_GB2312"/>
          <w:sz w:val="32"/>
          <w:szCs w:val="32"/>
        </w:rPr>
        <w:t>部分乡镇人员变动较大，新人员短时间内政策理解不透彻、系统操作不熟练，而农机购置补贴政策注意事项较多，在政策理解、补贴受理、系统操作、机具核验、数据维护等方面均需要注意很多细节。因此在条线队伍业务水平的提升上还存在一定空间。</w:t>
      </w:r>
    </w:p>
    <w:p w14:paraId="277446C4">
      <w:pPr>
        <w:pStyle w:val="9"/>
        <w:numPr>
          <w:ilvl w:val="0"/>
          <w:numId w:val="1"/>
        </w:numPr>
        <w:ind w:firstLineChars="0"/>
        <w:rPr>
          <w:rFonts w:ascii="黑体" w:hAnsi="黑体" w:eastAsia="黑体"/>
          <w:sz w:val="32"/>
          <w:szCs w:val="32"/>
        </w:rPr>
      </w:pPr>
      <w:r>
        <w:rPr>
          <w:rFonts w:hint="eastAsia" w:ascii="黑体" w:hAnsi="黑体" w:eastAsia="黑体"/>
          <w:sz w:val="32"/>
          <w:szCs w:val="32"/>
        </w:rPr>
        <w:t>下一步工作打算</w:t>
      </w:r>
    </w:p>
    <w:p w14:paraId="7EFE37D8">
      <w:pPr>
        <w:ind w:firstLine="632" w:firstLineChars="200"/>
        <w:rPr>
          <w:rFonts w:ascii="仿宋_GB2312" w:eastAsia="仿宋_GB2312"/>
          <w:sz w:val="32"/>
          <w:szCs w:val="32"/>
        </w:rPr>
      </w:pPr>
      <w:r>
        <w:rPr>
          <w:rFonts w:hint="eastAsia" w:ascii="楷体" w:hAnsi="楷体" w:eastAsia="楷体"/>
          <w:sz w:val="32"/>
          <w:szCs w:val="32"/>
        </w:rPr>
        <w:t>（一）统筹资金安排，做好补贴发放。</w:t>
      </w:r>
      <w:r>
        <w:rPr>
          <w:rFonts w:hint="eastAsia" w:ascii="仿宋_GB2312" w:eastAsia="仿宋_GB2312"/>
          <w:sz w:val="32"/>
          <w:szCs w:val="32"/>
        </w:rPr>
        <w:t>目前12月批次的补贴已向财政部门提交兑付申请，并完成了一卡通数据录入，接下来进入财政资金发放环节。</w:t>
      </w:r>
      <w:r>
        <w:rPr>
          <w:rFonts w:ascii="仿宋_GB2312" w:eastAsia="仿宋_GB2312"/>
          <w:sz w:val="32"/>
          <w:szCs w:val="32"/>
        </w:rPr>
        <w:t>我局将继续</w:t>
      </w:r>
      <w:r>
        <w:rPr>
          <w:rFonts w:hint="eastAsia" w:ascii="仿宋_GB2312" w:eastAsia="仿宋_GB2312"/>
          <w:sz w:val="32"/>
          <w:szCs w:val="32"/>
        </w:rPr>
        <w:t>做好明年资金的</w:t>
      </w:r>
      <w:r>
        <w:rPr>
          <w:rFonts w:ascii="仿宋_GB2312" w:eastAsia="仿宋_GB2312"/>
          <w:sz w:val="32"/>
          <w:szCs w:val="32"/>
        </w:rPr>
        <w:t>统筹使用</w:t>
      </w:r>
      <w:r>
        <w:rPr>
          <w:rFonts w:hint="eastAsia" w:ascii="仿宋_GB2312" w:eastAsia="仿宋_GB2312"/>
          <w:sz w:val="32"/>
          <w:szCs w:val="32"/>
        </w:rPr>
        <w:t>工作</w:t>
      </w:r>
      <w:r>
        <w:rPr>
          <w:rFonts w:ascii="仿宋_GB2312" w:eastAsia="仿宋_GB2312"/>
          <w:sz w:val="32"/>
          <w:szCs w:val="32"/>
        </w:rPr>
        <w:t>，</w:t>
      </w:r>
      <w:r>
        <w:rPr>
          <w:rFonts w:hint="eastAsia" w:ascii="仿宋_GB2312" w:eastAsia="仿宋_GB2312"/>
          <w:sz w:val="32"/>
          <w:szCs w:val="32"/>
        </w:rPr>
        <w:t>积极备战大规模农机设备更新和报废下一阶段的工作，</w:t>
      </w:r>
      <w:r>
        <w:rPr>
          <w:rFonts w:ascii="仿宋_GB2312" w:eastAsia="仿宋_GB2312"/>
          <w:sz w:val="32"/>
          <w:szCs w:val="32"/>
        </w:rPr>
        <w:t>确保资金及时</w:t>
      </w:r>
      <w:r>
        <w:rPr>
          <w:rFonts w:hint="eastAsia" w:ascii="仿宋_GB2312" w:eastAsia="仿宋_GB2312"/>
          <w:sz w:val="32"/>
          <w:szCs w:val="32"/>
        </w:rPr>
        <w:t>、规范、安全</w:t>
      </w:r>
      <w:r>
        <w:rPr>
          <w:rFonts w:ascii="仿宋_GB2312" w:eastAsia="仿宋_GB2312"/>
          <w:sz w:val="32"/>
          <w:szCs w:val="32"/>
        </w:rPr>
        <w:t>兑付。</w:t>
      </w:r>
    </w:p>
    <w:p w14:paraId="11129F77">
      <w:pPr>
        <w:ind w:firstLine="632" w:firstLineChars="200"/>
        <w:rPr>
          <w:rFonts w:ascii="仿宋_GB2312" w:eastAsia="仿宋_GB2312"/>
          <w:sz w:val="32"/>
          <w:szCs w:val="32"/>
        </w:rPr>
      </w:pPr>
      <w:r>
        <w:rPr>
          <w:rFonts w:hint="eastAsia" w:ascii="楷体" w:hAnsi="楷体" w:eastAsia="楷体"/>
          <w:sz w:val="32"/>
          <w:szCs w:val="32"/>
        </w:rPr>
        <w:t>（二）组织业务培训，加强政策宣讲。</w:t>
      </w:r>
      <w:r>
        <w:rPr>
          <w:rFonts w:hint="eastAsia" w:ascii="仿宋_GB2312" w:eastAsia="仿宋_GB2312"/>
          <w:sz w:val="32"/>
          <w:szCs w:val="32"/>
        </w:rPr>
        <w:t>为帮助服务对象更好地完成补贴申报，贯彻落实大规模农机设备更新和报废政策。我局将继续加强对镇街农机部门的业务指导和培训，同时利用现场会、技术推广服务会、农机购置补贴公开栏等多种方式，宣讲农机补贴政策，帮助农户更好地完成补贴申报。</w:t>
      </w:r>
    </w:p>
    <w:p w14:paraId="71EDA396">
      <w:pPr>
        <w:ind w:firstLine="632" w:firstLineChars="200"/>
        <w:rPr>
          <w:rFonts w:ascii="仿宋_GB2312" w:hAnsi="仿宋" w:eastAsia="仿宋_GB2312"/>
          <w:sz w:val="32"/>
          <w:szCs w:val="32"/>
        </w:rPr>
      </w:pPr>
      <w:r>
        <w:rPr>
          <w:rFonts w:hint="eastAsia" w:ascii="楷体" w:hAnsi="楷体" w:eastAsia="楷体"/>
          <w:sz w:val="32"/>
          <w:szCs w:val="32"/>
        </w:rPr>
        <w:t>（三）严格监督检查，杜绝违规风险。</w:t>
      </w:r>
      <w:r>
        <w:rPr>
          <w:rFonts w:hint="eastAsia" w:ascii="仿宋_GB2312" w:hAnsi="仿宋" w:eastAsia="仿宋_GB2312"/>
          <w:sz w:val="32"/>
          <w:szCs w:val="32"/>
        </w:rPr>
        <w:t>常态化开展农机补贴自查自纠活动，对发现的违规风险及时核查并补上漏洞。同时高度重视并积极受理农户的举报投诉，优化信访举报机制，畅通电话、邮箱、信函等多种投诉受理形式。对任何投诉举报的问题和线索，做到严查必纠。</w:t>
      </w:r>
    </w:p>
    <w:sectPr>
      <w:pgSz w:w="11906" w:h="16838"/>
      <w:pgMar w:top="1814" w:right="1361" w:bottom="1587" w:left="1587" w:header="709" w:footer="1361" w:gutter="0"/>
      <w:cols w:space="425"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660230E"/>
    <w:multiLevelType w:val="multilevel"/>
    <w:tmpl w:val="4660230E"/>
    <w:lvl w:ilvl="0" w:tentative="0">
      <w:start w:val="1"/>
      <w:numFmt w:val="japaneseCounting"/>
      <w:lvlText w:val="%1、"/>
      <w:lvlJc w:val="left"/>
      <w:pPr>
        <w:ind w:left="1312" w:hanging="720"/>
      </w:pPr>
      <w:rPr>
        <w:rFonts w:hint="default"/>
        <w:lang w:val="en-US"/>
      </w:rPr>
    </w:lvl>
    <w:lvl w:ilvl="1" w:tentative="0">
      <w:start w:val="1"/>
      <w:numFmt w:val="lowerLetter"/>
      <w:lvlText w:val="%2)"/>
      <w:lvlJc w:val="left"/>
      <w:pPr>
        <w:ind w:left="1432" w:hanging="420"/>
      </w:pPr>
    </w:lvl>
    <w:lvl w:ilvl="2" w:tentative="0">
      <w:start w:val="1"/>
      <w:numFmt w:val="lowerRoman"/>
      <w:lvlText w:val="%3."/>
      <w:lvlJc w:val="right"/>
      <w:pPr>
        <w:ind w:left="1852" w:hanging="420"/>
      </w:pPr>
    </w:lvl>
    <w:lvl w:ilvl="3" w:tentative="0">
      <w:start w:val="1"/>
      <w:numFmt w:val="decimal"/>
      <w:lvlText w:val="%4."/>
      <w:lvlJc w:val="left"/>
      <w:pPr>
        <w:ind w:left="2272" w:hanging="420"/>
      </w:pPr>
    </w:lvl>
    <w:lvl w:ilvl="4" w:tentative="0">
      <w:start w:val="1"/>
      <w:numFmt w:val="lowerLetter"/>
      <w:lvlText w:val="%5)"/>
      <w:lvlJc w:val="left"/>
      <w:pPr>
        <w:ind w:left="2692" w:hanging="420"/>
      </w:pPr>
    </w:lvl>
    <w:lvl w:ilvl="5" w:tentative="0">
      <w:start w:val="1"/>
      <w:numFmt w:val="lowerRoman"/>
      <w:lvlText w:val="%6."/>
      <w:lvlJc w:val="right"/>
      <w:pPr>
        <w:ind w:left="3112" w:hanging="420"/>
      </w:pPr>
    </w:lvl>
    <w:lvl w:ilvl="6" w:tentative="0">
      <w:start w:val="1"/>
      <w:numFmt w:val="decimal"/>
      <w:lvlText w:val="%7."/>
      <w:lvlJc w:val="left"/>
      <w:pPr>
        <w:ind w:left="3532" w:hanging="420"/>
      </w:pPr>
    </w:lvl>
    <w:lvl w:ilvl="7" w:tentative="0">
      <w:start w:val="1"/>
      <w:numFmt w:val="lowerLetter"/>
      <w:lvlText w:val="%8)"/>
      <w:lvlJc w:val="left"/>
      <w:pPr>
        <w:ind w:left="3952" w:hanging="420"/>
      </w:pPr>
    </w:lvl>
    <w:lvl w:ilvl="8" w:tentative="0">
      <w:start w:val="1"/>
      <w:numFmt w:val="lowerRoman"/>
      <w:lvlText w:val="%9."/>
      <w:lvlJc w:val="right"/>
      <w:pPr>
        <w:ind w:left="437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evenAndOddHeaders w:val="1"/>
  <w:drawingGridHorizontalSpacing w:val="158"/>
  <w:drawingGridVerticalSpacing w:val="579"/>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WZlNDQ0N2E3OWFjYzNmOGY2OTczNGMzNzQ0N2NmNTQifQ=="/>
  </w:docVars>
  <w:rsids>
    <w:rsidRoot w:val="006E02E9"/>
    <w:rsid w:val="00005165"/>
    <w:rsid w:val="000617C3"/>
    <w:rsid w:val="00073BD6"/>
    <w:rsid w:val="00075D6B"/>
    <w:rsid w:val="00132886"/>
    <w:rsid w:val="0013463C"/>
    <w:rsid w:val="00163D1C"/>
    <w:rsid w:val="00165E88"/>
    <w:rsid w:val="00197DEC"/>
    <w:rsid w:val="0021199C"/>
    <w:rsid w:val="00225830"/>
    <w:rsid w:val="00242D23"/>
    <w:rsid w:val="00267CDB"/>
    <w:rsid w:val="002F5F43"/>
    <w:rsid w:val="00320C0E"/>
    <w:rsid w:val="003346B9"/>
    <w:rsid w:val="00342B29"/>
    <w:rsid w:val="00363960"/>
    <w:rsid w:val="003B486E"/>
    <w:rsid w:val="004027E8"/>
    <w:rsid w:val="0041720E"/>
    <w:rsid w:val="0044438D"/>
    <w:rsid w:val="0045599A"/>
    <w:rsid w:val="004D48B3"/>
    <w:rsid w:val="004E071E"/>
    <w:rsid w:val="004F21E4"/>
    <w:rsid w:val="005865EF"/>
    <w:rsid w:val="005916EF"/>
    <w:rsid w:val="005C4612"/>
    <w:rsid w:val="0061119D"/>
    <w:rsid w:val="00651E1A"/>
    <w:rsid w:val="006704DE"/>
    <w:rsid w:val="006735C6"/>
    <w:rsid w:val="006E02E9"/>
    <w:rsid w:val="00751D9E"/>
    <w:rsid w:val="00761C61"/>
    <w:rsid w:val="007766B1"/>
    <w:rsid w:val="007A0B36"/>
    <w:rsid w:val="007A55A8"/>
    <w:rsid w:val="007B3642"/>
    <w:rsid w:val="007F6F36"/>
    <w:rsid w:val="008048FA"/>
    <w:rsid w:val="0086565F"/>
    <w:rsid w:val="00872EFC"/>
    <w:rsid w:val="00897802"/>
    <w:rsid w:val="008A4AA1"/>
    <w:rsid w:val="008D3324"/>
    <w:rsid w:val="008E52F7"/>
    <w:rsid w:val="00903EFA"/>
    <w:rsid w:val="00931646"/>
    <w:rsid w:val="00934778"/>
    <w:rsid w:val="009741DA"/>
    <w:rsid w:val="009A4AC1"/>
    <w:rsid w:val="009B2DEF"/>
    <w:rsid w:val="009E3BBD"/>
    <w:rsid w:val="00A32222"/>
    <w:rsid w:val="00A33084"/>
    <w:rsid w:val="00A35C57"/>
    <w:rsid w:val="00AC15D0"/>
    <w:rsid w:val="00AC661E"/>
    <w:rsid w:val="00B1568F"/>
    <w:rsid w:val="00B376AE"/>
    <w:rsid w:val="00B60E04"/>
    <w:rsid w:val="00B63EF4"/>
    <w:rsid w:val="00B866BC"/>
    <w:rsid w:val="00B9257E"/>
    <w:rsid w:val="00BB57D0"/>
    <w:rsid w:val="00BC77E0"/>
    <w:rsid w:val="00C03888"/>
    <w:rsid w:val="00C32E4E"/>
    <w:rsid w:val="00C44EC7"/>
    <w:rsid w:val="00CA4508"/>
    <w:rsid w:val="00CC1236"/>
    <w:rsid w:val="00CC67FD"/>
    <w:rsid w:val="00CE1A2E"/>
    <w:rsid w:val="00CF0D98"/>
    <w:rsid w:val="00D34F26"/>
    <w:rsid w:val="00D7298E"/>
    <w:rsid w:val="00D752B4"/>
    <w:rsid w:val="00D95964"/>
    <w:rsid w:val="00D96861"/>
    <w:rsid w:val="00DC0723"/>
    <w:rsid w:val="00DD5232"/>
    <w:rsid w:val="00DF3A96"/>
    <w:rsid w:val="00E0644D"/>
    <w:rsid w:val="00E2772C"/>
    <w:rsid w:val="00E33F44"/>
    <w:rsid w:val="00EC513B"/>
    <w:rsid w:val="00EC65D0"/>
    <w:rsid w:val="00EF5DA2"/>
    <w:rsid w:val="00F06E8E"/>
    <w:rsid w:val="00F242AE"/>
    <w:rsid w:val="00F615A3"/>
    <w:rsid w:val="00F81C4B"/>
    <w:rsid w:val="00FA1FD6"/>
    <w:rsid w:val="00FB7A2C"/>
    <w:rsid w:val="00FD62F4"/>
    <w:rsid w:val="00FF1673"/>
    <w:rsid w:val="0D500F80"/>
    <w:rsid w:val="192348A9"/>
    <w:rsid w:val="459C020A"/>
    <w:rsid w:val="5D0118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Date"/>
    <w:basedOn w:val="1"/>
    <w:next w:val="1"/>
    <w:link w:val="10"/>
    <w:semiHidden/>
    <w:unhideWhenUsed/>
    <w:uiPriority w:val="99"/>
    <w:pPr>
      <w:ind w:left="100" w:leftChars="2500"/>
    </w:pPr>
  </w:style>
  <w:style w:type="paragraph" w:styleId="3">
    <w:name w:val="footer"/>
    <w:basedOn w:val="1"/>
    <w:link w:val="8"/>
    <w:autoRedefine/>
    <w:unhideWhenUsed/>
    <w:qFormat/>
    <w:uiPriority w:val="99"/>
    <w:pPr>
      <w:tabs>
        <w:tab w:val="center" w:pos="4153"/>
        <w:tab w:val="right" w:pos="8306"/>
      </w:tabs>
      <w:snapToGrid w:val="0"/>
      <w:jc w:val="left"/>
    </w:pPr>
    <w:rPr>
      <w:sz w:val="18"/>
      <w:szCs w:val="18"/>
    </w:rPr>
  </w:style>
  <w:style w:type="paragraph" w:styleId="4">
    <w:name w:val="header"/>
    <w:basedOn w:val="1"/>
    <w:link w:val="7"/>
    <w:autoRedefine/>
    <w:unhideWhenUsed/>
    <w:qFormat/>
    <w:uiPriority w:val="99"/>
    <w:pPr>
      <w:tabs>
        <w:tab w:val="center" w:pos="4153"/>
        <w:tab w:val="right" w:pos="8306"/>
      </w:tabs>
      <w:snapToGrid w:val="0"/>
      <w:jc w:val="center"/>
    </w:pPr>
    <w:rPr>
      <w:sz w:val="18"/>
      <w:szCs w:val="18"/>
    </w:rPr>
  </w:style>
  <w:style w:type="character" w:customStyle="1" w:styleId="7">
    <w:name w:val="页眉 字符"/>
    <w:basedOn w:val="6"/>
    <w:link w:val="4"/>
    <w:qFormat/>
    <w:uiPriority w:val="99"/>
    <w:rPr>
      <w:sz w:val="18"/>
      <w:szCs w:val="18"/>
    </w:rPr>
  </w:style>
  <w:style w:type="character" w:customStyle="1" w:styleId="8">
    <w:name w:val="页脚 字符"/>
    <w:basedOn w:val="6"/>
    <w:link w:val="3"/>
    <w:qFormat/>
    <w:uiPriority w:val="99"/>
    <w:rPr>
      <w:sz w:val="18"/>
      <w:szCs w:val="18"/>
    </w:rPr>
  </w:style>
  <w:style w:type="paragraph" w:styleId="9">
    <w:name w:val="List Paragraph"/>
    <w:basedOn w:val="1"/>
    <w:autoRedefine/>
    <w:qFormat/>
    <w:uiPriority w:val="34"/>
    <w:pPr>
      <w:ind w:firstLine="420" w:firstLineChars="200"/>
    </w:pPr>
  </w:style>
  <w:style w:type="character" w:customStyle="1" w:styleId="10">
    <w:name w:val="日期 字符"/>
    <w:basedOn w:val="6"/>
    <w:link w:val="2"/>
    <w:semiHidden/>
    <w:uiPriority w:val="99"/>
    <w:rPr>
      <w:kern w:val="2"/>
      <w:sz w:val="21"/>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2030</Words>
  <Characters>2192</Characters>
  <Lines>15</Lines>
  <Paragraphs>4</Paragraphs>
  <TotalTime>428</TotalTime>
  <ScaleCrop>false</ScaleCrop>
  <LinksUpToDate>false</LinksUpToDate>
  <CharactersWithSpaces>2192</CharactersWithSpaces>
  <Application>WPS Office_12.8.2.17149_F1E327BC-269C-435d-A152-05C5408002CA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2023-12-20T01:09:00Z</dcterms:created>
  <dc:creator>志成 宋</dc:creator>
  <cp:lastModifiedBy>wps</cp:lastModifiedBy>
  <cp:lastPrinted>2024-12-06T08:30:00Z</cp:lastPrinted>
  <dcterms:modified xsi:type="dcterms:W3CDTF">2024-12-09T03:04:42Z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2052-12.8.2.17149</vt:lpwstr>
  </property>
  <property fmtid="{D5CDD505-2E9C-101B-9397-08002B2CF9AE}" pid="3" name="ICV">
    <vt:lpwstr>44426CCA24AF4701B6A989C64BA2B632_13</vt:lpwstr>
  </property>
</Properties>
</file>