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0A5AA2">
      <w:pPr>
        <w:ind w:firstLine="0" w:firstLineChars="0"/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</w:pPr>
      <w:bookmarkStart w:id="0" w:name="heading_0"/>
      <w:r>
        <w:rPr>
          <w:rFonts w:hint="default" w:ascii="Times New Roman" w:hAnsi="Times New Roman" w:eastAsia="方正黑体_GBK" w:cs="Times New Roman"/>
          <w:sz w:val="32"/>
          <w:szCs w:val="32"/>
        </w:rPr>
        <w:t>附</w:t>
      </w:r>
      <w:bookmarkStart w:id="1" w:name="_GoBack"/>
      <w:bookmarkEnd w:id="1"/>
      <w:r>
        <w:rPr>
          <w:rFonts w:hint="default" w:ascii="Times New Roman" w:hAnsi="Times New Roman" w:eastAsia="方正黑体_GBK" w:cs="Times New Roman"/>
          <w:sz w:val="32"/>
          <w:szCs w:val="32"/>
        </w:rPr>
        <w:t>件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1</w:t>
      </w:r>
    </w:p>
    <w:p w14:paraId="737590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20" w:line="560" w:lineRule="exact"/>
        <w:jc w:val="center"/>
        <w:textAlignment w:val="auto"/>
        <w:outlineLvl w:val="1"/>
        <w:rPr>
          <w:rFonts w:hint="eastAsia" w:ascii="方正公文小标宋" w:hAnsi="方正公文小标宋" w:eastAsia="方正公文小标宋" w:cs="方正公文小标宋"/>
          <w:bCs/>
          <w:sz w:val="44"/>
          <w:szCs w:val="44"/>
        </w:rPr>
      </w:pPr>
    </w:p>
    <w:p w14:paraId="4A5666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20" w:line="560" w:lineRule="exact"/>
        <w:jc w:val="center"/>
        <w:textAlignment w:val="auto"/>
        <w:outlineLvl w:val="1"/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  <w:t>江苏省海洋渔船违法违规记分管理办法</w:t>
      </w:r>
    </w:p>
    <w:bookmarkEnd w:id="0"/>
    <w:p w14:paraId="1C81CAB8">
      <w:pPr>
        <w:pStyle w:val="3"/>
        <w:spacing w:before="0" w:beforeAutospacing="0" w:after="0" w:afterAutospacing="0" w:line="560" w:lineRule="exact"/>
        <w:jc w:val="center"/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>（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lang w:eastAsia="zh-CN"/>
        </w:rPr>
        <w:t>征求意见</w:t>
      </w: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>稿）</w:t>
      </w:r>
    </w:p>
    <w:p w14:paraId="70BEF2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20" w:line="560" w:lineRule="exact"/>
        <w:ind w:firstLine="640" w:firstLineChars="200"/>
        <w:textAlignment w:val="auto"/>
        <w:rPr>
          <w:rFonts w:eastAsia="方正仿宋_GB2312"/>
          <w:sz w:val="32"/>
          <w:szCs w:val="32"/>
        </w:rPr>
      </w:pPr>
    </w:p>
    <w:p w14:paraId="03A46DA8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第一条（目的和依据）</w:t>
      </w:r>
      <w:r>
        <w:rPr>
          <w:rFonts w:eastAsia="方正仿宋_GB2312"/>
          <w:sz w:val="32"/>
          <w:szCs w:val="32"/>
        </w:rPr>
        <w:t xml:space="preserve"> 为加强海洋渔船管理，提升渔船所有人、经营人和船长法治意识，规范渔业生产行为，预防和遏制渔业安全事故发生，依据《中华人民共和国渔业法》《中华人民共和国渔港水域交通安全管理条例》《中华人民共和国渔业船员管理办法》《江苏省渔业安全生产管理办法》等法律法规、规章，结合本省实际，制定本办法。</w:t>
      </w:r>
    </w:p>
    <w:p w14:paraId="0D84EB1B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 xml:space="preserve">第二条（适用范围） </w:t>
      </w:r>
      <w:r>
        <w:rPr>
          <w:rFonts w:eastAsia="方正仿宋_GB2312"/>
          <w:sz w:val="32"/>
          <w:szCs w:val="32"/>
        </w:rPr>
        <w:t>船籍港为本省辖区内渔港的</w:t>
      </w:r>
      <w:r>
        <w:rPr>
          <w:rFonts w:hint="eastAsia" w:eastAsia="方正仿宋_GB2312"/>
          <w:sz w:val="32"/>
          <w:szCs w:val="32"/>
        </w:rPr>
        <w:t>国内</w:t>
      </w:r>
      <w:r>
        <w:rPr>
          <w:rFonts w:eastAsia="方正仿宋_GB2312"/>
          <w:sz w:val="32"/>
          <w:szCs w:val="32"/>
        </w:rPr>
        <w:t>海洋渔业船舶</w:t>
      </w:r>
      <w:r>
        <w:rPr>
          <w:rFonts w:hint="eastAsia" w:eastAsia="方正仿宋_GB2312"/>
          <w:sz w:val="32"/>
          <w:szCs w:val="32"/>
        </w:rPr>
        <w:t>（含国内海洋捕捞渔船和国内海洋捕捞辅助船，以下简称渔船）</w:t>
      </w:r>
      <w:r>
        <w:rPr>
          <w:rFonts w:eastAsia="方正仿宋_GB2312"/>
          <w:sz w:val="32"/>
          <w:szCs w:val="32"/>
        </w:rPr>
        <w:t>适用本办法。</w:t>
      </w:r>
    </w:p>
    <w:p w14:paraId="1DB82269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 xml:space="preserve">第三条（管理主体） </w:t>
      </w:r>
      <w:r>
        <w:rPr>
          <w:rFonts w:eastAsia="方正仿宋_GB2312"/>
          <w:sz w:val="32"/>
          <w:szCs w:val="32"/>
        </w:rPr>
        <w:t>省农业农村厅主管全省海洋渔船违法违规记分（以下简称“渔船记分”）管理工作。县级以上农业农村</w:t>
      </w:r>
      <w:r>
        <w:rPr>
          <w:rFonts w:hint="eastAsia" w:eastAsia="方正仿宋_GB2312"/>
          <w:sz w:val="32"/>
          <w:szCs w:val="32"/>
        </w:rPr>
        <w:t>（渔业渔政）</w:t>
      </w:r>
      <w:r>
        <w:rPr>
          <w:rFonts w:eastAsia="方正仿宋_GB2312"/>
          <w:sz w:val="32"/>
          <w:szCs w:val="32"/>
        </w:rPr>
        <w:t>主管部门</w:t>
      </w:r>
      <w:r>
        <w:rPr>
          <w:rFonts w:hint="eastAsia" w:eastAsia="方正仿宋_GB2312"/>
          <w:sz w:val="32"/>
          <w:szCs w:val="32"/>
        </w:rPr>
        <w:t>及有关渔业执法机构（以下统称管理部门）</w:t>
      </w:r>
      <w:r>
        <w:rPr>
          <w:rFonts w:eastAsia="方正仿宋_GB2312"/>
          <w:sz w:val="32"/>
          <w:szCs w:val="32"/>
        </w:rPr>
        <w:t>负责本辖区船籍港渔船的记分实施、学习组织、复核受理等日常管理工作。</w:t>
      </w:r>
    </w:p>
    <w:p w14:paraId="6ED4A93F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第四条（基本制度）</w:t>
      </w:r>
      <w:r>
        <w:rPr>
          <w:rFonts w:eastAsia="方正仿宋_GB2312"/>
          <w:sz w:val="32"/>
          <w:szCs w:val="32"/>
        </w:rPr>
        <w:t xml:space="preserve"> 渔船违反国家和本省渔业船舶管理、安全生产、捕捞作业等相关规定，或者存在影响航行、作业安全隐患，按本办法予以记分并采取相应管理措施。</w:t>
      </w:r>
    </w:p>
    <w:p w14:paraId="5EF531D2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渔船记分实行“自动识别为主、人工录入为辅”管理，统一通过“苏渔安”信息化管理系统（以下简称“苏渔安”系统）实施。</w:t>
      </w:r>
    </w:p>
    <w:p w14:paraId="5BC1E5BC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第五条（记分对象）</w:t>
      </w:r>
      <w:r>
        <w:rPr>
          <w:rFonts w:eastAsia="方正仿宋_GB2312"/>
          <w:sz w:val="32"/>
          <w:szCs w:val="32"/>
        </w:rPr>
        <w:t xml:space="preserve"> 记分以单船为单位</w:t>
      </w:r>
      <w:r>
        <w:rPr>
          <w:rFonts w:hint="eastAsia" w:eastAsia="方正仿宋_GB2312"/>
          <w:sz w:val="32"/>
          <w:szCs w:val="32"/>
        </w:rPr>
        <w:t>，</w:t>
      </w:r>
      <w:r>
        <w:rPr>
          <w:rFonts w:eastAsia="方正仿宋_GB2312"/>
          <w:sz w:val="32"/>
          <w:szCs w:val="32"/>
        </w:rPr>
        <w:t>同一船舶所有人或经营人拥有2艘及以上渔船的，每船单独记分。</w:t>
      </w:r>
    </w:p>
    <w:p w14:paraId="46C0834B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第六条（记分周期）</w:t>
      </w:r>
      <w:r>
        <w:rPr>
          <w:rFonts w:eastAsia="方正仿宋_GB2312"/>
          <w:sz w:val="32"/>
          <w:szCs w:val="32"/>
        </w:rPr>
        <w:t xml:space="preserve"> 记分周期为一个自然年，即1月1日起至12月31日止。</w:t>
      </w:r>
    </w:p>
    <w:p w14:paraId="1850F171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第七条（分值和标准）</w:t>
      </w:r>
      <w:r>
        <w:rPr>
          <w:rFonts w:eastAsia="方正仿宋_GB2312"/>
          <w:sz w:val="32"/>
          <w:szCs w:val="32"/>
        </w:rPr>
        <w:t xml:space="preserve"> 记分分值分为1分、2分、3分、6分、12分五档，一个记分周期内记满分为12分，具体记分项目及标准详见附件。</w:t>
      </w:r>
    </w:p>
    <w:p w14:paraId="2AB73B7E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对核定乘员10人及以上，以及从事专项捕捞（含入韩专项，下同）的渔船，在本办法附件规定分值基础上提高一档执行；原分值为12分的，按12分记分。</w:t>
      </w:r>
    </w:p>
    <w:p w14:paraId="1A5EC03A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第八条（累加和从重）</w:t>
      </w:r>
      <w:r>
        <w:rPr>
          <w:rFonts w:eastAsia="方正仿宋_GB2312"/>
          <w:sz w:val="32"/>
          <w:szCs w:val="32"/>
        </w:rPr>
        <w:t xml:space="preserve"> 同一生产航次内，存在2个及以上违法违规行为或安全隐患的，分别记分，分值累加。</w:t>
      </w:r>
    </w:p>
    <w:p w14:paraId="73F2A536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同一违法违规行为涉及2个及以上记分项目的，按分值最高的项目记分，不重复记分。</w:t>
      </w:r>
    </w:p>
    <w:p w14:paraId="32C108B6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第九条（记满6分管理措施）</w:t>
      </w:r>
      <w:r>
        <w:rPr>
          <w:rFonts w:eastAsia="方正仿宋_GB2312"/>
          <w:sz w:val="32"/>
          <w:szCs w:val="32"/>
        </w:rPr>
        <w:t xml:space="preserve"> 一个记分周期内，渔船记满6分但未满12分，</w:t>
      </w:r>
      <w:r>
        <w:rPr>
          <w:rFonts w:hint="eastAsia" w:eastAsia="方正仿宋_GB2312"/>
          <w:sz w:val="32"/>
          <w:szCs w:val="32"/>
        </w:rPr>
        <w:t>管理部门</w:t>
      </w:r>
      <w:r>
        <w:rPr>
          <w:rFonts w:eastAsia="方正仿宋_GB2312"/>
          <w:sz w:val="32"/>
          <w:szCs w:val="32"/>
        </w:rPr>
        <w:t>应当及时对该渔船所有人、经营人及船长进行提醒约谈，告知记分情况。</w:t>
      </w:r>
    </w:p>
    <w:p w14:paraId="39E341B5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第十条（记满12分管理措施）</w:t>
      </w:r>
      <w:r>
        <w:rPr>
          <w:rFonts w:eastAsia="方正仿宋_GB2312"/>
          <w:sz w:val="32"/>
          <w:szCs w:val="32"/>
        </w:rPr>
        <w:t xml:space="preserve"> 一个记分周期内，渔船记满12分，</w:t>
      </w:r>
      <w:r>
        <w:rPr>
          <w:rFonts w:hint="eastAsia" w:eastAsia="方正仿宋_GB2312"/>
          <w:sz w:val="32"/>
          <w:szCs w:val="32"/>
        </w:rPr>
        <w:t>管理部门</w:t>
      </w:r>
      <w:r>
        <w:rPr>
          <w:rFonts w:eastAsia="方正仿宋_GB2312"/>
          <w:sz w:val="32"/>
          <w:szCs w:val="32"/>
        </w:rPr>
        <w:t>应当依法责令当事渔船立即停航，限期返回指定港口接受处理；对已在港内的当事渔船，依法责令禁止离港。</w:t>
      </w:r>
    </w:p>
    <w:p w14:paraId="4FC32434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当事渔船本年度应享受的渔业资源养护补贴、应急避险奖补等相关财政</w:t>
      </w:r>
      <w:r>
        <w:rPr>
          <w:rFonts w:hint="eastAsia" w:eastAsia="方正仿宋_GB2312"/>
          <w:sz w:val="32"/>
          <w:szCs w:val="32"/>
        </w:rPr>
        <w:t>补助</w:t>
      </w:r>
      <w:r>
        <w:rPr>
          <w:rFonts w:eastAsia="方正仿宋_GB2312"/>
          <w:sz w:val="32"/>
          <w:szCs w:val="32"/>
        </w:rPr>
        <w:t>，不予发放。</w:t>
      </w:r>
    </w:p>
    <w:p w14:paraId="5B1AD2C9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第十一条（满分学习、考核和清零）</w:t>
      </w:r>
      <w:r>
        <w:rPr>
          <w:rFonts w:eastAsia="方正仿宋_GB2312"/>
          <w:sz w:val="32"/>
          <w:szCs w:val="32"/>
        </w:rPr>
        <w:t xml:space="preserve"> 一个记分周期内，渔船记满12分，该渔船所有人、经营人及船长必须共同参加</w:t>
      </w:r>
      <w:r>
        <w:rPr>
          <w:rFonts w:hint="eastAsia" w:ascii="Cambria" w:hAnsi="Cambria" w:eastAsia="方正仿宋_GB2312" w:cs="Cambria"/>
          <w:sz w:val="32"/>
          <w:szCs w:val="32"/>
        </w:rPr>
        <w:t>管理部门</w:t>
      </w:r>
      <w:r>
        <w:rPr>
          <w:rFonts w:eastAsia="方正仿宋_GB2312"/>
          <w:sz w:val="32"/>
          <w:szCs w:val="32"/>
        </w:rPr>
        <w:t>组织的线下满分学习，学习期限不少于5天。</w:t>
      </w:r>
    </w:p>
    <w:p w14:paraId="607FE5B8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渔船所有人、经营人及船长完成满分学习并考核合格，且相关行政处罚已履行、安全隐患已整改的，</w:t>
      </w:r>
      <w:r>
        <w:rPr>
          <w:rFonts w:hint="eastAsia" w:ascii="Cambria" w:hAnsi="Cambria" w:eastAsia="方正仿宋_GB2312" w:cs="Cambria"/>
          <w:sz w:val="32"/>
          <w:szCs w:val="32"/>
        </w:rPr>
        <w:t>管理部门</w:t>
      </w:r>
      <w:r>
        <w:rPr>
          <w:rFonts w:eastAsia="方正仿宋_GB2312"/>
          <w:sz w:val="32"/>
          <w:szCs w:val="32"/>
        </w:rPr>
        <w:t>在“苏渔安”系统中清除该船当期记分，依法解除禁止离港措施。本办法第十条规定的扣发当事渔船当年度相关补贴</w:t>
      </w:r>
      <w:r>
        <w:rPr>
          <w:rFonts w:hint="eastAsia" w:eastAsia="方正仿宋_GB2312"/>
          <w:sz w:val="32"/>
          <w:szCs w:val="32"/>
        </w:rPr>
        <w:t>、补助</w:t>
      </w:r>
      <w:r>
        <w:rPr>
          <w:rFonts w:eastAsia="方正仿宋_GB2312"/>
          <w:sz w:val="32"/>
          <w:szCs w:val="32"/>
        </w:rPr>
        <w:t>措施，仍继续执行。</w:t>
      </w:r>
    </w:p>
    <w:p w14:paraId="1A1C801B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一个记分周期内，渔船记分每增加12分，满分学习期限相应增加5天；渔船所有人、经营人及船长</w:t>
      </w:r>
      <w:r>
        <w:rPr>
          <w:rFonts w:eastAsia="方正仿宋_GB2312"/>
          <w:sz w:val="32"/>
          <w:szCs w:val="32"/>
          <w:highlight w:val="none"/>
        </w:rPr>
        <w:t>单次满分学习期限最长不超过20天。</w:t>
      </w:r>
    </w:p>
    <w:p w14:paraId="02DF65C6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第十二条（记满12分两次以上管理措施）</w:t>
      </w:r>
      <w:r>
        <w:rPr>
          <w:rFonts w:eastAsia="方正仿宋_GB2312"/>
          <w:sz w:val="32"/>
          <w:szCs w:val="32"/>
        </w:rPr>
        <w:t xml:space="preserve"> 一个记分周期内，渔船记满12分未清零，或者累计记满12分达两次及以上，除执行本办法第十条规定外</w:t>
      </w:r>
      <w:r>
        <w:rPr>
          <w:rFonts w:hint="eastAsia" w:eastAsia="方正仿宋_GB2312"/>
          <w:sz w:val="32"/>
          <w:szCs w:val="32"/>
        </w:rPr>
        <w:t>，当事渔船</w:t>
      </w:r>
      <w:r>
        <w:rPr>
          <w:rFonts w:eastAsia="方正仿宋_GB2312"/>
          <w:sz w:val="32"/>
          <w:szCs w:val="32"/>
        </w:rPr>
        <w:t>下一年度专项捕捞申请不予受理。</w:t>
      </w:r>
    </w:p>
    <w:p w14:paraId="78ACC341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第十三条（记分随船转移）</w:t>
      </w:r>
      <w:r>
        <w:rPr>
          <w:rFonts w:eastAsia="方正仿宋_GB2312"/>
          <w:sz w:val="32"/>
          <w:szCs w:val="32"/>
        </w:rPr>
        <w:t xml:space="preserve"> 渔船所有权</w:t>
      </w:r>
      <w:r>
        <w:rPr>
          <w:rFonts w:hint="eastAsia" w:eastAsia="方正仿宋_GB2312"/>
          <w:sz w:val="32"/>
          <w:szCs w:val="32"/>
        </w:rPr>
        <w:t>发生</w:t>
      </w:r>
      <w:r>
        <w:rPr>
          <w:rFonts w:eastAsia="方正仿宋_GB2312"/>
          <w:sz w:val="32"/>
          <w:szCs w:val="32"/>
        </w:rPr>
        <w:t>变更</w:t>
      </w:r>
      <w:r>
        <w:rPr>
          <w:rFonts w:hint="eastAsia" w:eastAsia="方正仿宋_GB2312"/>
          <w:sz w:val="32"/>
          <w:szCs w:val="32"/>
        </w:rPr>
        <w:t>，</w:t>
      </w:r>
      <w:r>
        <w:rPr>
          <w:rFonts w:eastAsia="方正仿宋_GB2312"/>
          <w:sz w:val="32"/>
          <w:szCs w:val="32"/>
        </w:rPr>
        <w:t>记分随船转移，相关</w:t>
      </w:r>
      <w:r>
        <w:rPr>
          <w:rFonts w:hint="eastAsia" w:ascii="Cambria" w:hAnsi="Cambria" w:eastAsia="方正仿宋_GB2312" w:cs="Cambria"/>
          <w:sz w:val="32"/>
          <w:szCs w:val="32"/>
        </w:rPr>
        <w:t>管理</w:t>
      </w:r>
      <w:r>
        <w:rPr>
          <w:rFonts w:eastAsia="方正仿宋_GB2312"/>
          <w:sz w:val="32"/>
          <w:szCs w:val="32"/>
        </w:rPr>
        <w:t>措施由</w:t>
      </w:r>
      <w:r>
        <w:rPr>
          <w:rFonts w:hint="eastAsia" w:ascii="Cambria" w:hAnsi="Cambria" w:eastAsia="方正仿宋_GB2312" w:cs="Cambria"/>
          <w:sz w:val="32"/>
          <w:szCs w:val="32"/>
        </w:rPr>
        <w:t>新的渔船</w:t>
      </w:r>
      <w:r>
        <w:rPr>
          <w:rFonts w:eastAsia="方正仿宋_GB2312"/>
          <w:sz w:val="32"/>
          <w:szCs w:val="32"/>
        </w:rPr>
        <w:t>所有人、经营人及船长履行。</w:t>
      </w:r>
    </w:p>
    <w:p w14:paraId="50EA7D39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第十四条（记分清零和结转）</w:t>
      </w:r>
      <w:r>
        <w:rPr>
          <w:rFonts w:eastAsia="方正仿宋_GB2312"/>
          <w:sz w:val="32"/>
          <w:szCs w:val="32"/>
        </w:rPr>
        <w:t xml:space="preserve"> 记分周期届满，渔船未记满12分，且相关行政处罚已履行、安全隐患已整改的，当期记分自动清零。</w:t>
      </w:r>
    </w:p>
    <w:p w14:paraId="5633C9BA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记分周期届满，渔船未记满12分，但相关行政处罚未履行或安全隐患未整改，当期记分转入下一周期。</w:t>
      </w:r>
    </w:p>
    <w:p w14:paraId="187A7EE3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第十五条（教育消分）</w:t>
      </w:r>
      <w:r>
        <w:rPr>
          <w:rFonts w:eastAsia="方正仿宋_GB2312"/>
          <w:sz w:val="32"/>
          <w:szCs w:val="32"/>
        </w:rPr>
        <w:t xml:space="preserve"> 一个记分周期内，渔船未记满12分，渔船所有人、经营人</w:t>
      </w:r>
      <w:r>
        <w:rPr>
          <w:rFonts w:hint="eastAsia" w:eastAsia="方正仿宋_GB2312"/>
          <w:sz w:val="32"/>
          <w:szCs w:val="32"/>
        </w:rPr>
        <w:t>及船长</w:t>
      </w:r>
      <w:r>
        <w:rPr>
          <w:rFonts w:eastAsia="方正仿宋_GB2312"/>
          <w:sz w:val="32"/>
          <w:szCs w:val="32"/>
        </w:rPr>
        <w:t>可申请参加渔业安全教育，经考核合格后抵扣相应记分。</w:t>
      </w:r>
    </w:p>
    <w:p w14:paraId="70022CB5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安全教育分为线上和线下两种形式：线上安全教育可由渔船所有人、经营人或船长参加，每学满</w:t>
      </w:r>
      <w:r>
        <w:rPr>
          <w:rFonts w:hint="eastAsia" w:eastAsia="方正仿宋_GB2312"/>
          <w:sz w:val="32"/>
          <w:szCs w:val="32"/>
        </w:rPr>
        <w:t>6</w:t>
      </w:r>
      <w:r>
        <w:rPr>
          <w:rFonts w:eastAsia="方正仿宋_GB2312"/>
          <w:sz w:val="32"/>
          <w:szCs w:val="32"/>
        </w:rPr>
        <w:t>个学时且考核合格，抵扣1分；线下安全教育须由渔船所有人、经营人及船长共同参加，每学满</w:t>
      </w:r>
      <w:r>
        <w:rPr>
          <w:rFonts w:hint="eastAsia" w:eastAsia="方正仿宋_GB2312"/>
          <w:sz w:val="32"/>
          <w:szCs w:val="32"/>
        </w:rPr>
        <w:t>3</w:t>
      </w:r>
      <w:r>
        <w:rPr>
          <w:rFonts w:eastAsia="方正仿宋_GB2312"/>
          <w:sz w:val="32"/>
          <w:szCs w:val="32"/>
        </w:rPr>
        <w:t>个学时且考核合格，抵扣</w:t>
      </w:r>
      <w:r>
        <w:rPr>
          <w:rFonts w:hint="eastAsia" w:eastAsia="方正仿宋_GB2312"/>
          <w:sz w:val="32"/>
          <w:szCs w:val="32"/>
        </w:rPr>
        <w:t>2</w:t>
      </w:r>
      <w:r>
        <w:rPr>
          <w:rFonts w:eastAsia="方正仿宋_GB2312"/>
          <w:sz w:val="32"/>
          <w:szCs w:val="32"/>
        </w:rPr>
        <w:t>分。每学时标准为45分钟。</w:t>
      </w:r>
    </w:p>
    <w:p w14:paraId="7056CBD4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一个记分周期内</w:t>
      </w:r>
      <w:r>
        <w:rPr>
          <w:rFonts w:hint="eastAsia" w:eastAsia="方正仿宋_GB2312"/>
          <w:sz w:val="32"/>
          <w:szCs w:val="32"/>
        </w:rPr>
        <w:t>线上</w:t>
      </w:r>
      <w:r>
        <w:rPr>
          <w:rFonts w:eastAsia="方正仿宋_GB2312"/>
          <w:sz w:val="32"/>
          <w:szCs w:val="32"/>
        </w:rPr>
        <w:t>安全教育</w:t>
      </w:r>
      <w:r>
        <w:rPr>
          <w:rFonts w:hint="eastAsia" w:eastAsia="方正仿宋_GB2312"/>
          <w:sz w:val="32"/>
          <w:szCs w:val="32"/>
        </w:rPr>
        <w:t>抵扣</w:t>
      </w:r>
      <w:r>
        <w:rPr>
          <w:rFonts w:hint="eastAsia" w:ascii="仿宋_GB2312" w:eastAsia="仿宋_GB2312"/>
          <w:sz w:val="32"/>
          <w:szCs w:val="32"/>
        </w:rPr>
        <w:t>分数累</w:t>
      </w:r>
      <w:r>
        <w:rPr>
          <w:rFonts w:eastAsia="方正仿宋_GB2312"/>
          <w:sz w:val="32"/>
          <w:szCs w:val="32"/>
        </w:rPr>
        <w:t>计不得超过12分。</w:t>
      </w:r>
    </w:p>
    <w:p w14:paraId="583B3E9F">
      <w:pPr>
        <w:spacing w:line="560" w:lineRule="exact"/>
        <w:ind w:firstLine="640" w:firstLineChars="200"/>
        <w:rPr>
          <w:rFonts w:hint="eastAsia" w:ascii="Cambria" w:hAnsi="Cambria"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第十六条（奖励消分）</w:t>
      </w:r>
      <w:r>
        <w:rPr>
          <w:rFonts w:eastAsia="方正仿宋_GB2312"/>
          <w:sz w:val="32"/>
          <w:szCs w:val="32"/>
        </w:rPr>
        <w:t xml:space="preserve"> 渔船在生产作业期间，主动参与海上应急救助、抢险救灾工作，有下列情形</w:t>
      </w:r>
      <w:r>
        <w:rPr>
          <w:rFonts w:hint="eastAsia" w:eastAsia="方正仿宋_GB2312"/>
          <w:sz w:val="32"/>
          <w:szCs w:val="32"/>
        </w:rPr>
        <w:t>之一的，</w:t>
      </w:r>
      <w:r>
        <w:rPr>
          <w:rFonts w:eastAsia="方正仿宋_GB2312"/>
          <w:sz w:val="32"/>
          <w:szCs w:val="32"/>
        </w:rPr>
        <w:t>给予</w:t>
      </w:r>
      <w:r>
        <w:rPr>
          <w:rFonts w:hint="eastAsia" w:ascii="仿宋_GB2312" w:eastAsia="仿宋_GB2312"/>
          <w:sz w:val="32"/>
          <w:szCs w:val="32"/>
        </w:rPr>
        <w:t>奖励分数</w:t>
      </w:r>
      <w:r>
        <w:rPr>
          <w:rFonts w:hint="eastAsia" w:ascii="宋体" w:hAnsi="宋体" w:cs="宋体"/>
          <w:sz w:val="32"/>
          <w:szCs w:val="32"/>
          <w:highlight w:val="none"/>
        </w:rPr>
        <w:t>：</w:t>
      </w:r>
    </w:p>
    <w:p w14:paraId="42A1C6C9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（一）成功救助海上遇险人员1人的，奖励2分</w:t>
      </w:r>
      <w:r>
        <w:rPr>
          <w:rFonts w:hint="eastAsia" w:eastAsia="方正仿宋_GB2312"/>
          <w:sz w:val="32"/>
          <w:szCs w:val="32"/>
        </w:rPr>
        <w:t>。</w:t>
      </w:r>
      <w:r>
        <w:rPr>
          <w:rFonts w:eastAsia="方正仿宋_GB2312"/>
          <w:sz w:val="32"/>
          <w:szCs w:val="32"/>
        </w:rPr>
        <w:t>单次救助累计奖励不超过6分；</w:t>
      </w:r>
    </w:p>
    <w:p w14:paraId="61D42832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（二）成功拖带失去动力的渔船返回港口，拖带船舶船长24米及以上的，奖励</w:t>
      </w:r>
      <w:r>
        <w:rPr>
          <w:rFonts w:hint="eastAsia" w:eastAsia="方正仿宋_GB2312"/>
          <w:sz w:val="32"/>
          <w:szCs w:val="32"/>
        </w:rPr>
        <w:t>3</w:t>
      </w:r>
      <w:r>
        <w:rPr>
          <w:rFonts w:eastAsia="方正仿宋_GB2312"/>
          <w:sz w:val="32"/>
          <w:szCs w:val="32"/>
        </w:rPr>
        <w:t>分；拖带船舶船长24米以下的，奖励</w:t>
      </w:r>
      <w:r>
        <w:rPr>
          <w:rFonts w:hint="eastAsia" w:eastAsia="方正仿宋_GB2312"/>
          <w:sz w:val="32"/>
          <w:szCs w:val="32"/>
        </w:rPr>
        <w:t>2</w:t>
      </w:r>
      <w:r>
        <w:rPr>
          <w:rFonts w:eastAsia="方正仿宋_GB2312"/>
          <w:sz w:val="32"/>
          <w:szCs w:val="32"/>
        </w:rPr>
        <w:t>分。单次拖带累计奖励不超过</w:t>
      </w:r>
      <w:r>
        <w:rPr>
          <w:rFonts w:hint="eastAsia" w:eastAsia="方正仿宋_GB2312"/>
          <w:sz w:val="32"/>
          <w:szCs w:val="32"/>
        </w:rPr>
        <w:t>6</w:t>
      </w:r>
      <w:r>
        <w:rPr>
          <w:rFonts w:eastAsia="方正仿宋_GB2312"/>
          <w:sz w:val="32"/>
          <w:szCs w:val="32"/>
        </w:rPr>
        <w:t>分。</w:t>
      </w:r>
    </w:p>
    <w:p w14:paraId="588A1702"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eastAsia="方正仿宋_GB2312"/>
          <w:sz w:val="32"/>
          <w:szCs w:val="32"/>
        </w:rPr>
        <w:t>奖励分</w:t>
      </w:r>
      <w:r>
        <w:rPr>
          <w:rFonts w:hint="eastAsia" w:ascii="仿宋_GB2312" w:eastAsia="仿宋_GB2312"/>
          <w:sz w:val="32"/>
          <w:szCs w:val="32"/>
        </w:rPr>
        <w:t>数</w:t>
      </w:r>
      <w:r>
        <w:rPr>
          <w:rFonts w:eastAsia="方正仿宋_GB2312"/>
          <w:sz w:val="32"/>
          <w:szCs w:val="32"/>
        </w:rPr>
        <w:t>用于抵扣记分</w:t>
      </w:r>
      <w:r>
        <w:rPr>
          <w:rFonts w:hint="eastAsia" w:eastAsia="方正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</w:rPr>
        <w:t>可以预存及</w:t>
      </w:r>
      <w:r>
        <w:rPr>
          <w:rFonts w:hint="eastAsia" w:ascii="仿宋_GB2312" w:hAnsi="宋体" w:eastAsia="仿宋_GB2312" w:cs="宋体"/>
          <w:sz w:val="32"/>
          <w:szCs w:val="32"/>
        </w:rPr>
        <w:t>跨记分周期使用</w:t>
      </w:r>
      <w:r>
        <w:rPr>
          <w:rFonts w:hint="eastAsia" w:ascii="仿宋_GB2312" w:eastAsia="仿宋_GB2312"/>
          <w:sz w:val="32"/>
          <w:szCs w:val="32"/>
        </w:rPr>
        <w:t>。</w:t>
      </w:r>
    </w:p>
    <w:p w14:paraId="06EE68D4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奖励</w:t>
      </w:r>
      <w:r>
        <w:rPr>
          <w:rFonts w:hint="eastAsia" w:ascii="Cambria" w:hAnsi="Cambria" w:eastAsia="方正仿宋_GB2312" w:cs="Cambria"/>
          <w:sz w:val="32"/>
          <w:szCs w:val="32"/>
        </w:rPr>
        <w:t>分数</w:t>
      </w:r>
      <w:r>
        <w:rPr>
          <w:rFonts w:eastAsia="方正仿宋_GB2312"/>
          <w:sz w:val="32"/>
          <w:szCs w:val="32"/>
        </w:rPr>
        <w:t>由渔船所有人、经营人在救助、抢险结束之日起</w:t>
      </w:r>
      <w:r>
        <w:rPr>
          <w:rFonts w:hint="eastAsia" w:eastAsia="方正仿宋_GB2312"/>
          <w:sz w:val="32"/>
          <w:szCs w:val="32"/>
        </w:rPr>
        <w:t>15</w:t>
      </w:r>
      <w:r>
        <w:rPr>
          <w:rFonts w:eastAsia="方正仿宋_GB2312"/>
          <w:sz w:val="32"/>
          <w:szCs w:val="32"/>
        </w:rPr>
        <w:t>个工作日内，向</w:t>
      </w:r>
      <w:r>
        <w:rPr>
          <w:rFonts w:hint="eastAsia" w:eastAsia="方正仿宋_GB2312"/>
          <w:sz w:val="32"/>
          <w:szCs w:val="32"/>
          <w:lang w:val="en-US" w:eastAsia="zh-CN"/>
        </w:rPr>
        <w:t>县级</w:t>
      </w:r>
      <w:r>
        <w:rPr>
          <w:rFonts w:hint="eastAsia" w:ascii="Cambria" w:hAnsi="Cambria" w:eastAsia="方正仿宋_GB2312" w:cs="Cambria"/>
          <w:sz w:val="32"/>
          <w:szCs w:val="32"/>
        </w:rPr>
        <w:t>管理部门</w:t>
      </w:r>
      <w:r>
        <w:rPr>
          <w:rFonts w:eastAsia="方正仿宋_GB2312"/>
          <w:sz w:val="32"/>
          <w:szCs w:val="32"/>
        </w:rPr>
        <w:t>提出书面申报，并提</w:t>
      </w:r>
      <w:r>
        <w:rPr>
          <w:rFonts w:hint="eastAsia" w:ascii="仿宋_GB2312" w:hAnsi="宋体" w:eastAsia="仿宋_GB2312" w:cs="宋体"/>
          <w:sz w:val="32"/>
          <w:szCs w:val="32"/>
        </w:rPr>
        <w:t>供</w:t>
      </w:r>
      <w:r>
        <w:rPr>
          <w:rFonts w:eastAsia="方正仿宋_GB2312"/>
          <w:sz w:val="32"/>
          <w:szCs w:val="32"/>
        </w:rPr>
        <w:t>下列材料：</w:t>
      </w:r>
    </w:p>
    <w:p w14:paraId="5545AA55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（一）救助、抢险情况说明；</w:t>
      </w:r>
    </w:p>
    <w:p w14:paraId="65807B2B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（二）被救助人员、被拖带渔船所有人出具的证明，或海事、海警、渔业执法机构出具的相关证明；</w:t>
      </w:r>
    </w:p>
    <w:p w14:paraId="5D2E9DB0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（三）渔船航行日志、</w:t>
      </w:r>
      <w:r>
        <w:rPr>
          <w:rFonts w:hint="eastAsia" w:ascii="Cambria" w:hAnsi="Cambria" w:eastAsia="方正仿宋_GB2312" w:cs="Cambria"/>
          <w:sz w:val="32"/>
          <w:szCs w:val="32"/>
        </w:rPr>
        <w:t>作业</w:t>
      </w:r>
      <w:r>
        <w:rPr>
          <w:rFonts w:eastAsia="方正仿宋_GB2312"/>
          <w:sz w:val="32"/>
          <w:szCs w:val="32"/>
        </w:rPr>
        <w:t>日志</w:t>
      </w:r>
      <w:r>
        <w:rPr>
          <w:rFonts w:hint="eastAsia" w:eastAsia="方正仿宋_GB2312"/>
          <w:sz w:val="32"/>
          <w:szCs w:val="32"/>
        </w:rPr>
        <w:t>等</w:t>
      </w:r>
      <w:r>
        <w:rPr>
          <w:rFonts w:eastAsia="方正仿宋_GB2312"/>
          <w:sz w:val="32"/>
          <w:szCs w:val="32"/>
        </w:rPr>
        <w:t>相关记录复印件；</w:t>
      </w:r>
    </w:p>
    <w:p w14:paraId="7757305A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（四）其他可佐证的相关材料。</w:t>
      </w:r>
    </w:p>
    <w:p w14:paraId="03D73FFB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申报材料经县级</w:t>
      </w:r>
      <w:r>
        <w:rPr>
          <w:rFonts w:hint="eastAsia" w:ascii="Cambria" w:hAnsi="Cambria" w:eastAsia="方正仿宋_GB2312" w:cs="Cambria"/>
          <w:sz w:val="32"/>
          <w:szCs w:val="32"/>
        </w:rPr>
        <w:t>管理部门</w:t>
      </w:r>
      <w:r>
        <w:rPr>
          <w:rFonts w:eastAsia="方正仿宋_GB2312"/>
          <w:sz w:val="32"/>
          <w:szCs w:val="32"/>
        </w:rPr>
        <w:t>初审、设区市</w:t>
      </w:r>
      <w:r>
        <w:rPr>
          <w:rFonts w:hint="eastAsia" w:ascii="Cambria" w:hAnsi="Cambria" w:eastAsia="方正仿宋_GB2312" w:cs="Cambria"/>
          <w:sz w:val="32"/>
          <w:szCs w:val="32"/>
        </w:rPr>
        <w:t>管理部门</w:t>
      </w:r>
      <w:r>
        <w:rPr>
          <w:rFonts w:eastAsia="方正仿宋_GB2312"/>
          <w:sz w:val="32"/>
          <w:szCs w:val="32"/>
        </w:rPr>
        <w:t>审核通过后</w:t>
      </w:r>
      <w:r>
        <w:rPr>
          <w:rFonts w:hint="eastAsia" w:eastAsia="方正仿宋_GB2312"/>
          <w:sz w:val="32"/>
          <w:szCs w:val="32"/>
        </w:rPr>
        <w:t>，</w:t>
      </w:r>
      <w:r>
        <w:rPr>
          <w:rFonts w:eastAsia="方正仿宋_GB2312"/>
          <w:sz w:val="32"/>
          <w:szCs w:val="32"/>
        </w:rPr>
        <w:t>在</w:t>
      </w:r>
      <w:r>
        <w:rPr>
          <w:rFonts w:hint="eastAsia" w:eastAsia="方正仿宋_GB2312"/>
          <w:sz w:val="32"/>
          <w:szCs w:val="32"/>
        </w:rPr>
        <w:t>设区市</w:t>
      </w:r>
      <w:r>
        <w:rPr>
          <w:rFonts w:hint="eastAsia" w:ascii="Cambria" w:hAnsi="Cambria" w:eastAsia="方正仿宋_GB2312" w:cs="Cambria"/>
          <w:sz w:val="32"/>
          <w:szCs w:val="32"/>
        </w:rPr>
        <w:t>管理</w:t>
      </w:r>
      <w:r>
        <w:rPr>
          <w:rFonts w:eastAsia="方正仿宋_GB2312"/>
          <w:sz w:val="32"/>
          <w:szCs w:val="32"/>
        </w:rPr>
        <w:t>部门官网及“苏渔安”系统公示</w:t>
      </w:r>
      <w:r>
        <w:rPr>
          <w:rFonts w:hint="eastAsia" w:eastAsia="方正仿宋_GB2312"/>
          <w:sz w:val="32"/>
          <w:szCs w:val="32"/>
        </w:rPr>
        <w:t>5</w:t>
      </w:r>
      <w:r>
        <w:rPr>
          <w:rFonts w:eastAsia="方正仿宋_GB2312"/>
          <w:sz w:val="32"/>
          <w:szCs w:val="32"/>
        </w:rPr>
        <w:t>个工作日，无异议</w:t>
      </w:r>
      <w:r>
        <w:rPr>
          <w:rFonts w:hint="eastAsia" w:eastAsia="方正仿宋_GB2312"/>
          <w:sz w:val="32"/>
          <w:szCs w:val="32"/>
        </w:rPr>
        <w:t>后</w:t>
      </w:r>
      <w:r>
        <w:rPr>
          <w:rFonts w:eastAsia="方正仿宋_GB2312"/>
          <w:sz w:val="32"/>
          <w:szCs w:val="32"/>
        </w:rPr>
        <w:t>予以认定</w:t>
      </w:r>
      <w:r>
        <w:rPr>
          <w:rFonts w:hint="eastAsia" w:eastAsia="方正仿宋_GB2312"/>
          <w:sz w:val="32"/>
          <w:szCs w:val="32"/>
        </w:rPr>
        <w:t>，</w:t>
      </w:r>
      <w:r>
        <w:rPr>
          <w:rFonts w:eastAsia="方正仿宋_GB2312"/>
          <w:sz w:val="32"/>
          <w:szCs w:val="32"/>
        </w:rPr>
        <w:t>并录入“苏渔安”系统。</w:t>
      </w:r>
    </w:p>
    <w:p w14:paraId="31B0F565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第十七条（记分程序）</w:t>
      </w:r>
      <w:r>
        <w:rPr>
          <w:rFonts w:eastAsia="方正仿宋_GB2312"/>
          <w:sz w:val="32"/>
          <w:szCs w:val="32"/>
        </w:rPr>
        <w:t xml:space="preserve"> “苏渔安”系统自动抓取的渔船违法违规和安全隐患信息，</w:t>
      </w:r>
      <w:r>
        <w:rPr>
          <w:rFonts w:hint="eastAsia" w:eastAsia="方正仿宋_GB2312"/>
          <w:sz w:val="32"/>
          <w:szCs w:val="32"/>
        </w:rPr>
        <w:t>系统</w:t>
      </w:r>
      <w:r>
        <w:rPr>
          <w:rFonts w:eastAsia="方正仿宋_GB2312"/>
          <w:sz w:val="32"/>
          <w:szCs w:val="32"/>
        </w:rPr>
        <w:t>实时记分。</w:t>
      </w:r>
    </w:p>
    <w:p w14:paraId="21DA9C41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需执法人员手动录入的记分项目，执法人员原则上当场录入“苏渔安”系统；因海上信号微弱、设备故障等客观原因无法当场录入，须在3个工作日内完成录入。</w:t>
      </w:r>
    </w:p>
    <w:p w14:paraId="632C6EDE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其他省（自治区、直辖市）渔业执法机构及海事、公安、海警等相关部门查处的本省渔船违法违规行为，</w:t>
      </w:r>
      <w:r>
        <w:rPr>
          <w:rFonts w:hint="eastAsia" w:eastAsia="方正仿宋_GB2312"/>
          <w:sz w:val="32"/>
          <w:szCs w:val="32"/>
        </w:rPr>
        <w:t>管理部门</w:t>
      </w:r>
      <w:r>
        <w:rPr>
          <w:rFonts w:eastAsia="方正仿宋_GB2312"/>
          <w:sz w:val="32"/>
          <w:szCs w:val="32"/>
        </w:rPr>
        <w:t>在收到正式通报</w:t>
      </w:r>
      <w:r>
        <w:rPr>
          <w:rFonts w:hint="eastAsia" w:eastAsia="方正仿宋_GB2312"/>
          <w:sz w:val="32"/>
          <w:szCs w:val="32"/>
        </w:rPr>
        <w:t>起</w:t>
      </w:r>
      <w:r>
        <w:rPr>
          <w:rFonts w:eastAsia="方正仿宋_GB2312"/>
          <w:sz w:val="32"/>
          <w:szCs w:val="32"/>
        </w:rPr>
        <w:t>3个工作日内完成记分录入。</w:t>
      </w:r>
    </w:p>
    <w:p w14:paraId="70A570F8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渔船记分、满分学习、安全教育、考核清零、奖励消分等相关信息，由“苏渔安”系统通过短信、微信等电子方式，通知渔船所有人、经营人及船长。</w:t>
      </w:r>
    </w:p>
    <w:p w14:paraId="56D2EBFF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eastAsia="方正仿宋_GB2312"/>
          <w:sz w:val="32"/>
          <w:szCs w:val="32"/>
        </w:rPr>
        <w:t>有关主管部门、执法机构及与渔船记分有利害关系的单位和个人，可凭有效证明向县级以上</w:t>
      </w:r>
      <w:r>
        <w:rPr>
          <w:rFonts w:hint="eastAsia" w:ascii="Cambria" w:hAnsi="Cambria" w:eastAsia="方正仿宋_GB2312" w:cs="Cambria"/>
          <w:sz w:val="32"/>
          <w:szCs w:val="32"/>
        </w:rPr>
        <w:t>管理</w:t>
      </w:r>
      <w:r>
        <w:rPr>
          <w:rFonts w:eastAsia="方正仿宋_GB2312"/>
          <w:sz w:val="32"/>
          <w:szCs w:val="32"/>
        </w:rPr>
        <w:t>部门申请查询渔船记分信息。</w:t>
      </w:r>
    </w:p>
    <w:p w14:paraId="43E287F6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第十八条（复核）</w:t>
      </w:r>
      <w:r>
        <w:rPr>
          <w:rFonts w:eastAsia="方正仿宋_GB2312"/>
          <w:sz w:val="32"/>
          <w:szCs w:val="32"/>
        </w:rPr>
        <w:t xml:space="preserve"> 渔船所有人、经营人或船长对记分结果有异议的，可在收到记分告知信息之日后</w:t>
      </w:r>
      <w:r>
        <w:rPr>
          <w:rFonts w:hint="eastAsia" w:eastAsia="方正仿宋_GB2312"/>
          <w:sz w:val="32"/>
          <w:szCs w:val="32"/>
        </w:rPr>
        <w:t>5</w:t>
      </w:r>
      <w:r>
        <w:rPr>
          <w:rFonts w:eastAsia="方正仿宋_GB2312"/>
          <w:sz w:val="32"/>
          <w:szCs w:val="32"/>
        </w:rPr>
        <w:t>个工作日内，向</w:t>
      </w:r>
      <w:r>
        <w:rPr>
          <w:rFonts w:hint="eastAsia" w:ascii="Cambria" w:hAnsi="Cambria" w:eastAsia="方正仿宋_GB2312" w:cs="Cambria"/>
          <w:sz w:val="32"/>
          <w:szCs w:val="32"/>
        </w:rPr>
        <w:t>管理部门</w:t>
      </w:r>
      <w:r>
        <w:rPr>
          <w:rFonts w:eastAsia="方正仿宋_GB2312"/>
          <w:sz w:val="32"/>
          <w:szCs w:val="32"/>
        </w:rPr>
        <w:t>提出书面复核申请，并提交相关证据材料。</w:t>
      </w:r>
    </w:p>
    <w:p w14:paraId="5267C918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hint="eastAsia" w:ascii="Cambria" w:hAnsi="Cambria" w:eastAsia="方正仿宋_GB2312" w:cs="Cambria"/>
          <w:sz w:val="32"/>
          <w:szCs w:val="32"/>
        </w:rPr>
        <w:t>管理部门</w:t>
      </w:r>
      <w:r>
        <w:rPr>
          <w:rFonts w:eastAsia="方正仿宋_GB2312"/>
          <w:sz w:val="32"/>
          <w:szCs w:val="32"/>
        </w:rPr>
        <w:t>应当在收到复核申请之日起</w:t>
      </w:r>
      <w:r>
        <w:rPr>
          <w:rFonts w:hint="eastAsia" w:eastAsia="方正仿宋_GB2312"/>
          <w:sz w:val="32"/>
          <w:szCs w:val="32"/>
        </w:rPr>
        <w:t>5</w:t>
      </w:r>
      <w:r>
        <w:rPr>
          <w:rFonts w:eastAsia="方正仿宋_GB2312"/>
          <w:sz w:val="32"/>
          <w:szCs w:val="32"/>
        </w:rPr>
        <w:t>个工作日内完成复核，记分无误的，告知申请人；记分有误的，立即予以更正，同步更新“苏渔安”系统相关信息，并告知申请人。</w:t>
      </w:r>
    </w:p>
    <w:p w14:paraId="15B2AF31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第十九条（弄虚作假处理）</w:t>
      </w:r>
      <w:r>
        <w:rPr>
          <w:rFonts w:eastAsia="方正仿宋_GB2312"/>
          <w:sz w:val="32"/>
          <w:szCs w:val="32"/>
        </w:rPr>
        <w:t xml:space="preserve"> 渔船所有人、经营人或船长在渔船记分、满分学习、安全教育、考核测试及奖励消分申报等环节，存在弄虚作假、冒名顶替等行为，一经查实，其相关学习记录、考核结果、奖励分值均无效，恢复原记分状态，情节严重的，依法依规追加处理。</w:t>
      </w:r>
    </w:p>
    <w:p w14:paraId="711BAB45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第二十条（变更和撤销记分）</w:t>
      </w:r>
      <w:r>
        <w:rPr>
          <w:rFonts w:eastAsia="方正仿宋_GB2312"/>
          <w:sz w:val="32"/>
          <w:szCs w:val="32"/>
        </w:rPr>
        <w:t xml:space="preserve"> 记分所依据的行政处罚决定被依法变更、撤销的，相应记分分值同步变更、撤销。</w:t>
      </w:r>
    </w:p>
    <w:p w14:paraId="545B26FF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第二十一条（满分学习和安全教育实施）</w:t>
      </w:r>
      <w:r>
        <w:rPr>
          <w:rFonts w:eastAsia="方正仿宋_GB2312"/>
          <w:sz w:val="32"/>
          <w:szCs w:val="32"/>
        </w:rPr>
        <w:t xml:space="preserve"> 满分学习和安全教育包括渔业法律法规以及安全生产知识等内容，教学大纲由省农业农村厅</w:t>
      </w:r>
      <w:r>
        <w:rPr>
          <w:rFonts w:hint="eastAsia" w:eastAsia="方正仿宋_GB2312"/>
          <w:sz w:val="32"/>
          <w:szCs w:val="32"/>
        </w:rPr>
        <w:t>制定</w:t>
      </w:r>
      <w:r>
        <w:rPr>
          <w:rFonts w:eastAsia="方正仿宋_GB2312"/>
          <w:sz w:val="32"/>
          <w:szCs w:val="32"/>
        </w:rPr>
        <w:t>，线上学习和考核统一通过“苏渔安”系统开展。</w:t>
      </w:r>
    </w:p>
    <w:p w14:paraId="18176060">
      <w:pPr>
        <w:spacing w:line="56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第二十二条（施行日期）</w:t>
      </w:r>
      <w:r>
        <w:rPr>
          <w:rFonts w:eastAsia="方正仿宋_GB2312"/>
          <w:sz w:val="32"/>
          <w:szCs w:val="32"/>
        </w:rPr>
        <w:t xml:space="preserve"> 本办法自2026年____月____日起施行。2022年3月1日施行的《江苏省海洋渔业船舶安全生产记分管理办法（试行）》同时废止。</w:t>
      </w:r>
    </w:p>
    <w:p w14:paraId="24D50C5A">
      <w:pPr>
        <w:spacing w:after="160" w:line="420" w:lineRule="exact"/>
        <w:ind w:firstLine="640" w:firstLineChars="200"/>
        <w:rPr>
          <w:rFonts w:eastAsia="方正仿宋_GB2312"/>
          <w:sz w:val="32"/>
          <w:szCs w:val="32"/>
        </w:rPr>
      </w:pPr>
      <w:r>
        <w:rPr>
          <w:rFonts w:hint="eastAsia" w:eastAsia="方正仿宋_GB2312"/>
          <w:sz w:val="32"/>
          <w:szCs w:val="32"/>
        </w:rPr>
        <w:t>附件：海洋渔船违法违规记分标准</w:t>
      </w:r>
    </w:p>
    <w:p w14:paraId="692DF428">
      <w:pPr>
        <w:rPr>
          <w:rFonts w:hint="eastAsia" w:ascii="黑体" w:hAnsi="黑体" w:eastAsia="黑体"/>
          <w:kern w:val="2"/>
          <w:sz w:val="32"/>
          <w:szCs w:val="32"/>
        </w:rPr>
      </w:pPr>
      <w:r>
        <w:rPr>
          <w:rFonts w:hint="eastAsia" w:ascii="黑体" w:hAnsi="黑体" w:eastAsia="黑体"/>
          <w:kern w:val="2"/>
          <w:sz w:val="32"/>
          <w:szCs w:val="32"/>
        </w:rPr>
        <w:br w:type="page"/>
      </w:r>
    </w:p>
    <w:p w14:paraId="7A5957AD">
      <w:pPr>
        <w:spacing w:after="160" w:line="420" w:lineRule="exact"/>
        <w:rPr>
          <w:rFonts w:hint="eastAsia" w:ascii="黑体" w:hAnsi="黑体" w:eastAsia="黑体"/>
          <w:kern w:val="2"/>
          <w:sz w:val="32"/>
          <w:szCs w:val="32"/>
        </w:rPr>
      </w:pPr>
      <w:r>
        <w:rPr>
          <w:rFonts w:hint="eastAsia" w:ascii="黑体" w:hAnsi="黑体" w:eastAsia="黑体"/>
          <w:kern w:val="2"/>
          <w:sz w:val="32"/>
          <w:szCs w:val="32"/>
        </w:rPr>
        <w:t>附件</w:t>
      </w:r>
    </w:p>
    <w:p w14:paraId="0F26CE87">
      <w:pPr>
        <w:spacing w:after="160" w:line="540" w:lineRule="exact"/>
        <w:jc w:val="center"/>
        <w:rPr>
          <w:rFonts w:hint="eastAsia" w:ascii="方正公文小标宋" w:hAnsi="方正公文小标宋" w:eastAsia="方正公文小标宋" w:cs="方正公文小标宋"/>
          <w:kern w:val="2"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kern w:val="2"/>
          <w:sz w:val="44"/>
          <w:szCs w:val="44"/>
        </w:rPr>
        <w:t>海洋渔船违法违规记分标准</w:t>
      </w:r>
    </w:p>
    <w:p w14:paraId="4A22BF80">
      <w:pPr>
        <w:spacing w:after="160" w:line="420" w:lineRule="exact"/>
        <w:jc w:val="center"/>
        <w:rPr>
          <w:rFonts w:hint="eastAsia" w:ascii="仿宋_GB2312" w:hAnsi="仿宋_GB2312" w:eastAsia="仿宋_GB2312"/>
          <w:kern w:val="2"/>
          <w:sz w:val="32"/>
          <w:szCs w:val="32"/>
        </w:rPr>
      </w:pPr>
    </w:p>
    <w:tbl>
      <w:tblPr>
        <w:tblStyle w:val="5"/>
        <w:tblW w:w="866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5"/>
        <w:gridCol w:w="947"/>
        <w:gridCol w:w="6697"/>
      </w:tblGrid>
      <w:tr w14:paraId="2920CE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Align w:val="center"/>
          </w:tcPr>
          <w:p w14:paraId="0459D306">
            <w:pPr>
              <w:spacing w:after="160" w:line="420" w:lineRule="exact"/>
              <w:jc w:val="center"/>
              <w:rPr>
                <w:rFonts w:hint="eastAsia" w:ascii="黑体" w:hAnsi="黑体" w:eastAsia="黑体"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kern w:val="2"/>
                <w:sz w:val="28"/>
                <w:szCs w:val="28"/>
              </w:rPr>
              <w:t>分值</w:t>
            </w:r>
          </w:p>
        </w:tc>
        <w:tc>
          <w:tcPr>
            <w:tcW w:w="947" w:type="dxa"/>
            <w:vAlign w:val="center"/>
          </w:tcPr>
          <w:p w14:paraId="4F714CCF">
            <w:pPr>
              <w:spacing w:after="160" w:line="420" w:lineRule="exact"/>
              <w:jc w:val="center"/>
              <w:rPr>
                <w:rFonts w:hint="eastAsia" w:ascii="黑体" w:hAnsi="黑体" w:eastAsia="黑体"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kern w:val="2"/>
                <w:sz w:val="28"/>
                <w:szCs w:val="28"/>
              </w:rPr>
              <w:t>序号</w:t>
            </w:r>
          </w:p>
        </w:tc>
        <w:tc>
          <w:tcPr>
            <w:tcW w:w="6697" w:type="dxa"/>
            <w:vAlign w:val="center"/>
          </w:tcPr>
          <w:p w14:paraId="052F756B">
            <w:pPr>
              <w:spacing w:after="160" w:line="420" w:lineRule="exact"/>
              <w:jc w:val="center"/>
              <w:rPr>
                <w:rFonts w:hint="eastAsia" w:ascii="黑体" w:hAnsi="黑体" w:eastAsia="黑体"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/>
                <w:kern w:val="2"/>
                <w:sz w:val="28"/>
                <w:szCs w:val="28"/>
              </w:rPr>
              <w:t>事项</w:t>
            </w:r>
          </w:p>
        </w:tc>
      </w:tr>
      <w:tr w14:paraId="6C2B5A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restart"/>
            <w:vAlign w:val="center"/>
          </w:tcPr>
          <w:p w14:paraId="5D62A3F7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1分</w:t>
            </w:r>
          </w:p>
        </w:tc>
        <w:tc>
          <w:tcPr>
            <w:tcW w:w="947" w:type="dxa"/>
            <w:vAlign w:val="center"/>
          </w:tcPr>
          <w:p w14:paraId="6349B379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6152918B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未按规定进行进港报告</w:t>
            </w:r>
          </w:p>
        </w:tc>
      </w:tr>
      <w:tr w14:paraId="4CC02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1D7020D7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3D6B55D8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187B823F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渔业船员证书过期</w:t>
            </w:r>
          </w:p>
        </w:tc>
      </w:tr>
      <w:tr w14:paraId="32E5EA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627A5A1C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58F7B29D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3F4D3B9B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未按规定填写、保存捕捞作业日志</w:t>
            </w:r>
          </w:p>
        </w:tc>
      </w:tr>
      <w:tr w14:paraId="53828A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54E55331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1BED532A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56111A3D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船名刷写、标识牌悬挂不规范</w:t>
            </w:r>
          </w:p>
        </w:tc>
      </w:tr>
      <w:tr w14:paraId="430617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42A5BD77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45012DB9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7745A831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专项捕捞未执行定点上岸制度</w:t>
            </w:r>
          </w:p>
        </w:tc>
      </w:tr>
      <w:tr w14:paraId="3EEE97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32F4BEE6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2EB282FE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13AAE1AD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遇险烟火信号不齐全有效</w:t>
            </w:r>
          </w:p>
        </w:tc>
      </w:tr>
      <w:tr w14:paraId="3E33F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113A1E83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1D0BBEE4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314CAA24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号灯不规范</w:t>
            </w:r>
          </w:p>
        </w:tc>
      </w:tr>
      <w:tr w14:paraId="5BB1D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4F110974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170A3B0B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3D7C10EC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甚高频船位信息未接入</w:t>
            </w:r>
          </w:p>
        </w:tc>
      </w:tr>
      <w:tr w14:paraId="322B11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47232271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07CC8265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3B95B566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水密门窗孔盖损坏</w:t>
            </w:r>
          </w:p>
        </w:tc>
      </w:tr>
      <w:tr w14:paraId="70A883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3FE61FCE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55A66E22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2E520849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防火门不规范</w:t>
            </w:r>
          </w:p>
        </w:tc>
      </w:tr>
      <w:tr w14:paraId="2C069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42BCE613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0F07EF29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07617ED9">
            <w:pPr>
              <w:tabs>
                <w:tab w:val="left" w:pos="951"/>
              </w:tabs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鱼舱应配未配硫化氢检测仪</w:t>
            </w:r>
          </w:p>
        </w:tc>
      </w:tr>
      <w:tr w14:paraId="4CE6B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15B482C2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061D7A22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303E7829">
            <w:pPr>
              <w:tabs>
                <w:tab w:val="left" w:pos="951"/>
              </w:tabs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未正确履行安全生产责任，造成人员落水、受伤等一般险情</w:t>
            </w:r>
          </w:p>
        </w:tc>
      </w:tr>
      <w:tr w14:paraId="251D40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5213E6C9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7403517E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4F3D1880">
            <w:pPr>
              <w:tabs>
                <w:tab w:val="left" w:pos="951"/>
              </w:tabs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无线电应急示位标安装不规范</w:t>
            </w:r>
          </w:p>
        </w:tc>
      </w:tr>
      <w:tr w14:paraId="6E40A7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restart"/>
            <w:vAlign w:val="center"/>
          </w:tcPr>
          <w:p w14:paraId="4FA43785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2分</w:t>
            </w:r>
          </w:p>
        </w:tc>
        <w:tc>
          <w:tcPr>
            <w:tcW w:w="947" w:type="dxa"/>
            <w:vAlign w:val="center"/>
          </w:tcPr>
          <w:p w14:paraId="592CF594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7ED4F112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船员证书与岗位不匹配</w:t>
            </w:r>
          </w:p>
        </w:tc>
      </w:tr>
      <w:tr w14:paraId="6A493F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35D911CB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2AE5197B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5E807643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触撞中日、中韩敏感水域管控线</w:t>
            </w:r>
          </w:p>
        </w:tc>
      </w:tr>
      <w:tr w14:paraId="1564E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7617AAE7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47BF6591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5CF3B08F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未落实渔业船舶正常值班、值守</w:t>
            </w:r>
          </w:p>
        </w:tc>
      </w:tr>
      <w:tr w14:paraId="403194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06D352B0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180EAFF3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610968F5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未按规定安装、配备消防、救生设备</w:t>
            </w:r>
          </w:p>
        </w:tc>
      </w:tr>
      <w:tr w14:paraId="3A785C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52FDBCFE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6BBF46D1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12E6B513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临水作业未穿着救生衣</w:t>
            </w:r>
          </w:p>
        </w:tc>
      </w:tr>
      <w:tr w14:paraId="48AFF1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4111303B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2AD105C5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49AF8091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电气设备短路、漏电</w:t>
            </w:r>
          </w:p>
        </w:tc>
      </w:tr>
      <w:tr w14:paraId="124827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69D66907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6E5F4AB5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00D8F90A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私拉乱接电线、擅自安装发电机和油箱、燃气罐存放不规范</w:t>
            </w:r>
          </w:p>
        </w:tc>
      </w:tr>
      <w:tr w14:paraId="37282C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restart"/>
            <w:vAlign w:val="center"/>
          </w:tcPr>
          <w:p w14:paraId="4DABCDC0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3分</w:t>
            </w:r>
          </w:p>
        </w:tc>
        <w:tc>
          <w:tcPr>
            <w:tcW w:w="947" w:type="dxa"/>
            <w:vAlign w:val="center"/>
          </w:tcPr>
          <w:p w14:paraId="08CF7B45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7EF14940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超载、超员、超高、超航区等生产航行</w:t>
            </w:r>
          </w:p>
        </w:tc>
      </w:tr>
      <w:tr w14:paraId="35B27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078EAF32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60301573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28741A27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违反捕捞许可证核定内容开展捕捞作业</w:t>
            </w:r>
          </w:p>
        </w:tc>
      </w:tr>
      <w:tr w14:paraId="384CD9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20989961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1DB4959C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3EA78050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渔船检验证书、国籍证书、捕捞许可证超过有效期</w:t>
            </w:r>
          </w:p>
        </w:tc>
      </w:tr>
      <w:tr w14:paraId="17FE6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7DDEE149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2B45E7E9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37F1FA46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招用未依法取得渔业船员证书的人员上船工作</w:t>
            </w:r>
          </w:p>
        </w:tc>
      </w:tr>
      <w:tr w14:paraId="769A1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7B77B733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505BC0E4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58D78A25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未按规定进行出港报告</w:t>
            </w:r>
          </w:p>
        </w:tc>
      </w:tr>
      <w:tr w14:paraId="00874E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50B58407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295CAD6B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265BFBDC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安全通信导航设备未处于良好运行状态，篡改、隐瞒、销毁渔业船舶安全通信导航信息数据。（含拆卸屏蔽北斗、AIS，或AIS一船多码）</w:t>
            </w:r>
          </w:p>
        </w:tc>
      </w:tr>
      <w:tr w14:paraId="49264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2E222F98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26F5996D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55D3FA13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未按规定投保安全生产责任险</w:t>
            </w:r>
          </w:p>
        </w:tc>
      </w:tr>
      <w:tr w14:paraId="5CBD84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2C3815EC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313EB190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18D4F307">
            <w:pPr>
              <w:tabs>
                <w:tab w:val="left" w:pos="1359"/>
              </w:tabs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安全通信导航设备未处于良好运行状态，篡改、隐瞒、销毁渔业船舶安全通信导航信息数据（含拆卸屏蔽北斗、AIS，或AIS一船多码）</w:t>
            </w:r>
          </w:p>
        </w:tc>
      </w:tr>
      <w:tr w14:paraId="2E5A89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5079BE98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492A4419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545ACCC5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封堵逃生通道</w:t>
            </w:r>
          </w:p>
        </w:tc>
      </w:tr>
      <w:tr w14:paraId="3216A0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0814549E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7368D115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0EF3E742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未按规定编组生产</w:t>
            </w:r>
          </w:p>
        </w:tc>
      </w:tr>
      <w:tr w14:paraId="1ADFCE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30BA9643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5E790D36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163AE7E1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未正确履行安全生产责任，发生碰</w:t>
            </w:r>
            <w:r>
              <w:rPr>
                <w:rFonts w:ascii="仿宋_GB2312" w:hAnsi="仿宋_GB2312" w:eastAsia="仿宋_GB2312"/>
                <w:kern w:val="2"/>
                <w:sz w:val="28"/>
                <w:szCs w:val="28"/>
              </w:rPr>
              <w:t>撞进水、火灾、沉船</w:t>
            </w: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等险情</w:t>
            </w:r>
          </w:p>
        </w:tc>
      </w:tr>
      <w:tr w14:paraId="587919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restart"/>
            <w:vAlign w:val="center"/>
          </w:tcPr>
          <w:p w14:paraId="377FDF5E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6分</w:t>
            </w:r>
          </w:p>
        </w:tc>
        <w:tc>
          <w:tcPr>
            <w:tcW w:w="947" w:type="dxa"/>
            <w:vAlign w:val="center"/>
          </w:tcPr>
          <w:p w14:paraId="4AFA768C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0D0464B7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未按规定配齐职务船员</w:t>
            </w:r>
          </w:p>
        </w:tc>
      </w:tr>
      <w:tr w14:paraId="7E434C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1496CD7B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40B15BD2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4165189B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未经有关机构批准或未按批准文件规定，在渔港内装卸易燃、易爆、有毒等危险货物</w:t>
            </w:r>
          </w:p>
        </w:tc>
      </w:tr>
      <w:tr w14:paraId="2E8857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19CAF659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71EC3F87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2489D49E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违反禁渔区、禁渔期规定从事捕捞活动（含未取得专项捕捞许可证擅自从事专项捕捞作业）</w:t>
            </w:r>
          </w:p>
        </w:tc>
      </w:tr>
      <w:tr w14:paraId="5F4733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2CA012CD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7114A972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017F7FE0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伪造、变造、冒用、借用船名牌</w:t>
            </w:r>
          </w:p>
        </w:tc>
      </w:tr>
      <w:tr w14:paraId="334307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0C782396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52D2A998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2A8197BB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不服从防台、避风、召回等调度管理</w:t>
            </w:r>
          </w:p>
        </w:tc>
      </w:tr>
      <w:tr w14:paraId="56FB98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05BA5AD5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5BE3BBC3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7E0AF44D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未正确履行安全生产责任，发生一般等级渔业安全责任事故</w:t>
            </w:r>
          </w:p>
        </w:tc>
      </w:tr>
      <w:tr w14:paraId="0CFB76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3310778F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0B750075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55D20E36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擅自越线进入他国管辖水域作业</w:t>
            </w:r>
          </w:p>
        </w:tc>
      </w:tr>
      <w:tr w14:paraId="1F3544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restart"/>
            <w:vAlign w:val="center"/>
          </w:tcPr>
          <w:p w14:paraId="2468A551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12分</w:t>
            </w:r>
          </w:p>
        </w:tc>
        <w:tc>
          <w:tcPr>
            <w:tcW w:w="947" w:type="dxa"/>
            <w:vAlign w:val="center"/>
          </w:tcPr>
          <w:p w14:paraId="4B185690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bottom"/>
          </w:tcPr>
          <w:p w14:paraId="6F524FDD">
            <w:pPr>
              <w:spacing w:after="160" w:line="420" w:lineRule="exac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违章载客</w:t>
            </w:r>
          </w:p>
        </w:tc>
      </w:tr>
      <w:tr w14:paraId="29C4A3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18EDAF3D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4E15A369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0C2C5287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未正确履行安全生产责任，发生较大及以上等级渔业安全责任事故</w:t>
            </w:r>
          </w:p>
        </w:tc>
      </w:tr>
      <w:tr w14:paraId="471D7C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57FF5329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32869B08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2C15CA11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未按规定报告渔业安全事故或拒绝接受事故调查，提供虚假证词，故意隐瞒事实</w:t>
            </w:r>
          </w:p>
        </w:tc>
      </w:tr>
      <w:tr w14:paraId="73F6B2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5" w:type="dxa"/>
            <w:vMerge w:val="continue"/>
            <w:vAlign w:val="center"/>
          </w:tcPr>
          <w:p w14:paraId="6BDAA7A6">
            <w:pPr>
              <w:spacing w:after="160" w:line="420" w:lineRule="exact"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947" w:type="dxa"/>
            <w:vAlign w:val="center"/>
          </w:tcPr>
          <w:p w14:paraId="384F1C39">
            <w:pPr>
              <w:numPr>
                <w:ilvl w:val="0"/>
                <w:numId w:val="1"/>
              </w:numPr>
              <w:spacing w:after="160" w:line="420" w:lineRule="exact"/>
              <w:ind w:left="720"/>
              <w:contextualSpacing/>
              <w:jc w:val="center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</w:p>
        </w:tc>
        <w:tc>
          <w:tcPr>
            <w:tcW w:w="6697" w:type="dxa"/>
            <w:vAlign w:val="center"/>
          </w:tcPr>
          <w:p w14:paraId="6FC32C1B">
            <w:pPr>
              <w:spacing w:after="160" w:line="420" w:lineRule="exact"/>
              <w:jc w:val="left"/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</w:pPr>
            <w:r>
              <w:rPr>
                <w:rFonts w:hint="eastAsia" w:ascii="仿宋_GB2312" w:hAnsi="仿宋_GB2312" w:eastAsia="仿宋_GB2312"/>
                <w:kern w:val="2"/>
                <w:sz w:val="28"/>
                <w:szCs w:val="28"/>
              </w:rPr>
              <w:t>拒不执行渔政渔港监督管理部门作出的离港、禁止离港、停航、改航、停止作业等决定</w:t>
            </w:r>
          </w:p>
        </w:tc>
      </w:tr>
    </w:tbl>
    <w:p w14:paraId="69C50879">
      <w:pPr>
        <w:widowControl/>
        <w:spacing w:line="420" w:lineRule="exact"/>
        <w:jc w:val="left"/>
        <w:rPr>
          <w:rFonts w:hint="eastAsia" w:ascii="仿宋_GB2312" w:hAnsi="仿宋_GB2312" w:eastAsia="仿宋_GB2312"/>
          <w:kern w:val="2"/>
          <w:sz w:val="32"/>
          <w:szCs w:val="32"/>
        </w:rPr>
      </w:pPr>
    </w:p>
    <w:p w14:paraId="125D93CB">
      <w:pPr>
        <w:spacing w:before="120" w:line="560" w:lineRule="exact"/>
        <w:ind w:firstLine="640" w:firstLineChars="200"/>
        <w:rPr>
          <w:rFonts w:eastAsia="方正仿宋_GB2312"/>
          <w:sz w:val="32"/>
          <w:szCs w:val="32"/>
        </w:rPr>
      </w:pPr>
    </w:p>
    <w:sectPr>
      <w:footerReference r:id="rId3" w:type="default"/>
      <w:pgSz w:w="11905" w:h="16840"/>
      <w:pgMar w:top="2098" w:right="1474" w:bottom="1984" w:left="1587" w:header="720" w:footer="720" w:gutter="0"/>
      <w:pgNumType w:fmt="numberInDash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400006A-6911-4289-A095-CDAC3E54E02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60E30CBF-F008-42E3-A1BD-C06EA323D6A9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3" w:fontKey="{5CE0130B-E9C9-4A62-BBD1-79C9DF38BDC4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A3E181FA-22CB-4981-810A-369009F352B3}"/>
  </w:font>
  <w:font w:name="方正楷体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5" w:fontKey="{836885E2-BA6C-4D20-8519-AA0E18EBC84E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6" w:fontKey="{D91848E7-6074-4C2E-835D-3BED73C8CB3B}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  <w:embedRegular r:id="rId7" w:fontKey="{497C8820-FD3E-415F-BFD0-3C8E4EE51D98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8" w:fontKey="{361DE8A5-4989-46C1-9520-3C03867CDFB3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F95A8C"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27647CA">
                          <w:pPr>
                            <w:pStyle w:val="2"/>
                            <w:rPr>
                              <w:sz w:val="32"/>
                              <w:szCs w:val="32"/>
                            </w:rPr>
                          </w:pPr>
                          <w:r>
                            <w:rPr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27647CA">
                    <w:pPr>
                      <w:pStyle w:val="2"/>
                      <w:rPr>
                        <w:sz w:val="32"/>
                        <w:szCs w:val="32"/>
                      </w:rPr>
                    </w:pPr>
                    <w:r>
                      <w:rPr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sz w:val="32"/>
                        <w:szCs w:val="32"/>
                      </w:rPr>
                      <w:t>1</w:t>
                    </w:r>
                    <w:r>
                      <w:rPr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337620"/>
    <w:multiLevelType w:val="multilevel"/>
    <w:tmpl w:val="5B337620"/>
    <w:lvl w:ilvl="0" w:tentative="0">
      <w:start w:val="1"/>
      <w:numFmt w:val="decimal"/>
      <w:suff w:val="nothing"/>
      <w:lvlText w:val="%1"/>
      <w:lvlJc w:val="center"/>
      <w:pPr>
        <w:ind w:left="397" w:hanging="397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documentProtection w:enforcement="0"/>
  <w:defaultTabStop w:val="420"/>
  <w:noPunctuationKerning w:val="1"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121C"/>
    <w:rsid w:val="0001206E"/>
    <w:rsid w:val="00117314"/>
    <w:rsid w:val="0018575F"/>
    <w:rsid w:val="002D011F"/>
    <w:rsid w:val="00403CF8"/>
    <w:rsid w:val="00482150"/>
    <w:rsid w:val="0050727B"/>
    <w:rsid w:val="00587E12"/>
    <w:rsid w:val="006D67D3"/>
    <w:rsid w:val="006F2DFF"/>
    <w:rsid w:val="00790DBC"/>
    <w:rsid w:val="00954CA8"/>
    <w:rsid w:val="00A43201"/>
    <w:rsid w:val="00B4177A"/>
    <w:rsid w:val="00B54E6B"/>
    <w:rsid w:val="00BF121C"/>
    <w:rsid w:val="00C735CC"/>
    <w:rsid w:val="00D42A82"/>
    <w:rsid w:val="00E46984"/>
    <w:rsid w:val="022E64A6"/>
    <w:rsid w:val="09DB1126"/>
    <w:rsid w:val="1AFB393D"/>
    <w:rsid w:val="1D1C78C7"/>
    <w:rsid w:val="203821AD"/>
    <w:rsid w:val="215869F4"/>
    <w:rsid w:val="235229D8"/>
    <w:rsid w:val="262A5CAA"/>
    <w:rsid w:val="325F5934"/>
    <w:rsid w:val="33FD7BDF"/>
    <w:rsid w:val="357B1079"/>
    <w:rsid w:val="3CB90F2D"/>
    <w:rsid w:val="436C03B1"/>
    <w:rsid w:val="43F82B94"/>
    <w:rsid w:val="470B38B4"/>
    <w:rsid w:val="4B840D2C"/>
    <w:rsid w:val="596C23A1"/>
    <w:rsid w:val="5AA60F11"/>
    <w:rsid w:val="5FB87CE1"/>
    <w:rsid w:val="647B1D74"/>
    <w:rsid w:val="6B7926B2"/>
    <w:rsid w:val="75114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5">
    <w:name w:val="Table Grid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Revision"/>
    <w:hidden/>
    <w:unhideWhenUsed/>
    <w:qFormat/>
    <w:uiPriority w:val="99"/>
    <w:rPr>
      <w:rFonts w:ascii="Times New Roman" w:hAnsi="Times New Roman" w:eastAsia="宋体" w:cs="Times New Roman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3636</Words>
  <Characters>3681</Characters>
  <Lines>29</Lines>
  <Paragraphs>8</Paragraphs>
  <TotalTime>0</TotalTime>
  <ScaleCrop>false</ScaleCrop>
  <LinksUpToDate>false</LinksUpToDate>
  <CharactersWithSpaces>3703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2026-02-03T02:52:00Z</dcterms:created>
  <dc:creator>Apache POI</dc:creator>
  <cp:lastModifiedBy>叶苏</cp:lastModifiedBy>
  <cp:lastPrinted>2026-02-03T02:24:00Z</cp:lastPrinted>
  <dcterms:modified xsi:type="dcterms:W3CDTF">2026-02-06T06:20:59Z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eyJoZGlkIjoiMWU4MjQ5MDQxNmI5NTY1ODgwODczZTYxZDhmN2ZmNzIiLCJ1c2VySWQiOiIyNjM3NDEyMDkifQ==</vt:lpwstr>
  </property>
  <property fmtid="{D5CDD505-2E9C-101B-9397-08002B2CF9AE}" pid="3" name="KSOProductBuildVer">
    <vt:lpwstr>2052-12.1.0.24657</vt:lpwstr>
  </property>
  <property fmtid="{D5CDD505-2E9C-101B-9397-08002B2CF9AE}" pid="4" name="ICV">
    <vt:lpwstr>B81C1659852941699D7AF6C443C7728A_13</vt:lpwstr>
  </property>
</Properties>
</file>