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jc w:val="center"/>
        <w:rPr>
          <w:rFonts w:hint="eastAsia" w:ascii="方正小标宋_GBK" w:eastAsia="方正小标宋_GBK" w:cs="方正小标宋_GBK"/>
          <w:sz w:val="44"/>
          <w:szCs w:val="44"/>
        </w:rPr>
      </w:pPr>
      <w:r>
        <w:rPr>
          <w:rFonts w:hint="eastAsia" w:ascii="方正小标宋_GBK" w:eastAsia="方正小标宋_GBK" w:cs="方正小标宋_GBK"/>
          <w:sz w:val="44"/>
          <w:szCs w:val="44"/>
        </w:rPr>
        <w:t>《</w:t>
      </w:r>
      <w:r>
        <w:rPr>
          <w:rFonts w:hint="eastAsia" w:ascii="方正小标宋_GBK" w:eastAsia="方正小标宋_GBK" w:cs="方正小标宋_GBK"/>
          <w:sz w:val="44"/>
          <w:szCs w:val="44"/>
          <w:lang w:val="en-US" w:eastAsia="zh-CN"/>
        </w:rPr>
        <w:t>江苏省洪泽</w:t>
      </w:r>
      <w:r>
        <w:rPr>
          <w:rFonts w:hint="eastAsia" w:ascii="方正小标宋_GBK" w:eastAsia="方正小标宋_GBK" w:cs="方正小标宋_GBK"/>
          <w:sz w:val="44"/>
          <w:szCs w:val="44"/>
        </w:rPr>
        <w:t>湖禁渔管理规定（征求意见稿）》起草说明</w:t>
      </w:r>
    </w:p>
    <w:p>
      <w:pPr>
        <w:widowControl/>
        <w:spacing w:line="520" w:lineRule="exact"/>
        <w:ind w:firstLine="640" w:firstLineChars="200"/>
        <w:jc w:val="left"/>
        <w:rPr>
          <w:rFonts w:eastAsia="方正小标宋简体"/>
          <w:kern w:val="0"/>
          <w:sz w:val="32"/>
          <w:szCs w:val="32"/>
        </w:rPr>
      </w:pPr>
    </w:p>
    <w:p>
      <w:pPr>
        <w:spacing w:line="520" w:lineRule="exact"/>
        <w:ind w:firstLine="640" w:firstLineChars="200"/>
        <w:jc w:val="left"/>
        <w:rPr>
          <w:rFonts w:eastAsia="仿宋_GB2312"/>
          <w:sz w:val="32"/>
          <w:szCs w:val="32"/>
        </w:rPr>
      </w:pPr>
      <w:r>
        <w:rPr>
          <w:rFonts w:eastAsia="仿宋_GB2312"/>
          <w:sz w:val="32"/>
          <w:szCs w:val="32"/>
        </w:rPr>
        <w:t>为进一步加强</w:t>
      </w:r>
      <w:r>
        <w:rPr>
          <w:rFonts w:hint="eastAsia" w:eastAsia="仿宋_GB2312"/>
          <w:sz w:val="32"/>
          <w:szCs w:val="32"/>
          <w:lang w:val="en-US" w:eastAsia="zh-CN"/>
        </w:rPr>
        <w:t>洪泽</w:t>
      </w:r>
      <w:r>
        <w:rPr>
          <w:rFonts w:eastAsia="仿宋_GB2312"/>
          <w:sz w:val="32"/>
          <w:szCs w:val="32"/>
        </w:rPr>
        <w:t>湖</w:t>
      </w:r>
      <w:r>
        <w:rPr>
          <w:rFonts w:hint="eastAsia" w:eastAsia="仿宋_GB2312"/>
          <w:sz w:val="32"/>
          <w:szCs w:val="32"/>
          <w:lang w:val="en-US" w:eastAsia="zh-CN"/>
        </w:rPr>
        <w:t>渔业资源管理与</w:t>
      </w:r>
      <w:r>
        <w:rPr>
          <w:rFonts w:eastAsia="仿宋_GB2312"/>
          <w:sz w:val="32"/>
          <w:szCs w:val="32"/>
        </w:rPr>
        <w:t>保护，维护生物多样性，保障</w:t>
      </w:r>
      <w:r>
        <w:rPr>
          <w:rFonts w:hint="eastAsia" w:eastAsia="仿宋_GB2312"/>
          <w:sz w:val="32"/>
          <w:szCs w:val="32"/>
          <w:lang w:val="en-US" w:eastAsia="zh-CN"/>
        </w:rPr>
        <w:t>水域</w:t>
      </w:r>
      <w:r>
        <w:rPr>
          <w:rFonts w:eastAsia="仿宋_GB2312"/>
          <w:sz w:val="32"/>
          <w:szCs w:val="32"/>
        </w:rPr>
        <w:t>生态安全，促进渔业高质量发展，根据《中华人民共和国渔业法》《中华人民共和国渔业法实施细则》《江苏省渔业管理条例》等法律法规</w:t>
      </w:r>
      <w:r>
        <w:rPr>
          <w:rFonts w:hint="eastAsia" w:eastAsia="仿宋_GB2312"/>
          <w:sz w:val="32"/>
          <w:szCs w:val="32"/>
          <w:lang w:val="en-US" w:eastAsia="zh-CN"/>
        </w:rPr>
        <w:t>和长江重点水域</w:t>
      </w:r>
      <w:r>
        <w:rPr>
          <w:rFonts w:eastAsia="仿宋_GB2312"/>
          <w:sz w:val="32"/>
          <w:szCs w:val="32"/>
        </w:rPr>
        <w:t>禁捕退捕</w:t>
      </w:r>
      <w:r>
        <w:rPr>
          <w:rFonts w:hint="eastAsia" w:eastAsia="仿宋_GB2312"/>
          <w:sz w:val="32"/>
          <w:szCs w:val="32"/>
          <w:lang w:val="en-US" w:eastAsia="zh-CN"/>
        </w:rPr>
        <w:t>政策规定</w:t>
      </w:r>
      <w:r>
        <w:rPr>
          <w:rFonts w:eastAsia="仿宋_GB2312"/>
          <w:sz w:val="32"/>
          <w:szCs w:val="32"/>
        </w:rPr>
        <w:t>，结合湖区实际，江苏省</w:t>
      </w:r>
      <w:r>
        <w:rPr>
          <w:rFonts w:hint="eastAsia" w:eastAsia="仿宋_GB2312"/>
          <w:sz w:val="32"/>
          <w:szCs w:val="32"/>
          <w:lang w:val="en-US" w:eastAsia="zh-CN"/>
        </w:rPr>
        <w:t>洪泽</w:t>
      </w:r>
      <w:r>
        <w:rPr>
          <w:rFonts w:eastAsia="仿宋_GB2312"/>
          <w:sz w:val="32"/>
          <w:szCs w:val="32"/>
        </w:rPr>
        <w:t>湖渔业管理委员会办公室组织起草</w:t>
      </w:r>
      <w:r>
        <w:rPr>
          <w:rFonts w:hint="eastAsia" w:eastAsia="仿宋_GB2312"/>
          <w:sz w:val="32"/>
          <w:szCs w:val="32"/>
        </w:rPr>
        <w:t>了</w:t>
      </w:r>
      <w:r>
        <w:rPr>
          <w:rFonts w:eastAsia="仿宋_GB2312"/>
          <w:sz w:val="32"/>
          <w:szCs w:val="32"/>
        </w:rPr>
        <w:t>《</w:t>
      </w:r>
      <w:r>
        <w:rPr>
          <w:rFonts w:hint="eastAsia" w:eastAsia="仿宋_GB2312"/>
          <w:sz w:val="32"/>
          <w:szCs w:val="32"/>
          <w:lang w:val="en-US" w:eastAsia="zh-CN"/>
        </w:rPr>
        <w:t>江苏省洪泽湖</w:t>
      </w:r>
      <w:r>
        <w:rPr>
          <w:rFonts w:eastAsia="仿宋_GB2312"/>
          <w:sz w:val="32"/>
          <w:szCs w:val="32"/>
        </w:rPr>
        <w:t>禁渔管理规定（征求意见稿）》（以下简称《规定》），现就有关情况说明如下：</w:t>
      </w:r>
    </w:p>
    <w:p>
      <w:pPr>
        <w:spacing w:line="520" w:lineRule="exact"/>
        <w:ind w:firstLine="640" w:firstLineChars="200"/>
        <w:jc w:val="left"/>
        <w:rPr>
          <w:rFonts w:hint="default" w:eastAsia="黑体"/>
          <w:sz w:val="32"/>
          <w:szCs w:val="32"/>
          <w:lang w:val="en-US" w:eastAsia="zh-CN"/>
        </w:rPr>
      </w:pPr>
      <w:r>
        <w:rPr>
          <w:rFonts w:eastAsia="黑体"/>
          <w:sz w:val="32"/>
          <w:szCs w:val="32"/>
        </w:rPr>
        <w:t>一、</w:t>
      </w:r>
      <w:r>
        <w:rPr>
          <w:rFonts w:hint="eastAsia" w:eastAsia="黑体"/>
          <w:sz w:val="32"/>
          <w:szCs w:val="32"/>
          <w:lang w:val="en-US" w:eastAsia="zh-CN"/>
        </w:rPr>
        <w:t>起草</w:t>
      </w:r>
      <w:r>
        <w:rPr>
          <w:rFonts w:eastAsia="黑体"/>
          <w:sz w:val="32"/>
          <w:szCs w:val="32"/>
        </w:rPr>
        <w:t>背景</w:t>
      </w:r>
      <w:r>
        <w:rPr>
          <w:rFonts w:hint="eastAsia" w:eastAsia="黑体"/>
          <w:sz w:val="32"/>
          <w:szCs w:val="32"/>
          <w:lang w:val="en-US" w:eastAsia="zh-CN"/>
        </w:rPr>
        <w:t>和必要性</w:t>
      </w:r>
    </w:p>
    <w:p>
      <w:pPr>
        <w:spacing w:line="520" w:lineRule="exact"/>
        <w:ind w:firstLine="640" w:firstLineChars="200"/>
        <w:jc w:val="left"/>
        <w:rPr>
          <w:rFonts w:hint="eastAsia" w:eastAsia="仿宋_GB2312"/>
          <w:sz w:val="32"/>
          <w:szCs w:val="32"/>
          <w:lang w:val="en-US" w:eastAsia="zh-CN"/>
        </w:rPr>
      </w:pPr>
      <w:r>
        <w:rPr>
          <w:rFonts w:hint="eastAsia" w:eastAsia="仿宋_GB2312"/>
          <w:sz w:val="32"/>
          <w:szCs w:val="32"/>
          <w:lang w:val="en-US" w:eastAsia="zh-CN"/>
        </w:rPr>
        <w:t>习近平总书记在重庆召开的推动长江经济带发展座谈会上，提出要“共抓大保护、不搞大开发”，走“生态优先、绿色发展”之路。2018年中央一号文件明确建立长江流域重点水域禁捕补偿制度。2019年《农业农村部 财政部 人力资源社会保障部关于印发&lt;长江流域重点水域禁捕和建立补偿制度实施方案&gt;的通知》，明确提出分类分阶段推进长江流域重点水域禁捕工作。2020年7月，省政府印发了《关于全面推进我省长江流域禁捕退捕工作实施方案的通知》（苏政发〔2020〕58号），明确国家和省级水生生物保护区实行常年禁捕，水生生物保护区所涉湖泊全面退捕。同年9月，江苏省农业农村厅发布了《关于收回洪泽湖省管水域渔业生产者捕捞权的公告》（第15号），决定收回洪泽湖省管水域渔业生产者捕捞权。今年3月18日，国务院办公厅印发《关于坚定不移推进长江十年禁渔工作的意见》（国办发〔2024〕12号）文件，要求各地坚定不移推进长江十年禁渔，加快推进生态修复。</w:t>
      </w:r>
    </w:p>
    <w:p>
      <w:pPr>
        <w:spacing w:line="520" w:lineRule="exact"/>
        <w:ind w:firstLine="640" w:firstLineChars="200"/>
        <w:jc w:val="left"/>
        <w:rPr>
          <w:rFonts w:hint="eastAsia" w:eastAsia="仿宋_GB2312"/>
          <w:sz w:val="32"/>
          <w:szCs w:val="32"/>
          <w:lang w:val="en-US" w:eastAsia="zh-CN"/>
        </w:rPr>
      </w:pPr>
      <w:r>
        <w:rPr>
          <w:rFonts w:hint="eastAsia" w:eastAsia="仿宋_GB2312"/>
          <w:sz w:val="32"/>
          <w:szCs w:val="32"/>
          <w:lang w:val="en-US" w:eastAsia="zh-CN"/>
        </w:rPr>
        <w:t>为贯彻落实国家、部省关于新时期渔业资源保护与管理的决策部署，适应新形势下渔业管理的要求，更好地促进洪泽湖生态文明建设，需要对《江苏省洪泽湖封湖禁渔通告》进行修改完善，起草制定《江苏省洪泽湖禁渔管理规定》。</w:t>
      </w:r>
    </w:p>
    <w:p>
      <w:pPr>
        <w:ind w:firstLine="640" w:firstLineChars="200"/>
        <w:jc w:val="left"/>
        <w:rPr>
          <w:rFonts w:ascii="Times New Roman" w:hAnsi="Times New Roman" w:eastAsia="黑体" w:cs="Times New Roman"/>
          <w:color w:val="000000" w:themeColor="text1"/>
          <w:sz w:val="32"/>
          <w:szCs w:val="32"/>
          <w14:textFill>
            <w14:solidFill>
              <w14:schemeClr w14:val="tx1"/>
            </w14:solidFill>
          </w14:textFill>
        </w:rPr>
      </w:pPr>
      <w:r>
        <w:rPr>
          <w:rFonts w:hint="eastAsia" w:hAnsi="黑体" w:eastAsia="黑体" w:cs="Times New Roman"/>
          <w:color w:val="000000" w:themeColor="text1"/>
          <w:sz w:val="32"/>
          <w:szCs w:val="32"/>
          <w:lang w:val="en-US" w:eastAsia="zh-CN"/>
          <w14:textFill>
            <w14:solidFill>
              <w14:schemeClr w14:val="tx1"/>
            </w14:solidFill>
          </w14:textFill>
        </w:rPr>
        <w:t>二</w:t>
      </w:r>
      <w:r>
        <w:rPr>
          <w:rFonts w:ascii="Times New Roman" w:hAnsi="黑体" w:eastAsia="黑体" w:cs="Times New Roman"/>
          <w:color w:val="000000" w:themeColor="text1"/>
          <w:sz w:val="32"/>
          <w:szCs w:val="32"/>
          <w14:textFill>
            <w14:solidFill>
              <w14:schemeClr w14:val="tx1"/>
            </w14:solidFill>
          </w14:textFill>
        </w:rPr>
        <w:t>、起草依据</w:t>
      </w:r>
    </w:p>
    <w:p>
      <w:pPr>
        <w:ind w:firstLine="640" w:firstLineChars="200"/>
        <w:jc w:val="left"/>
        <w:rPr>
          <w:rFonts w:ascii="Times New Roman" w:hAnsi="Times New Roman" w:eastAsia="仿宋_GB2312" w:cs="Times New Roman"/>
          <w:color w:val="000000" w:themeColor="text1"/>
          <w:sz w:val="32"/>
          <w:szCs w:val="32"/>
          <w14:textFill>
            <w14:solidFill>
              <w14:schemeClr w14:val="tx1"/>
            </w14:solidFill>
          </w14:textFill>
        </w:rPr>
      </w:pPr>
      <w:r>
        <w:rPr>
          <w:rFonts w:hint="eastAsia" w:eastAsia="仿宋_GB2312"/>
          <w:sz w:val="32"/>
          <w:szCs w:val="32"/>
          <w:lang w:val="en-US" w:eastAsia="zh-CN"/>
        </w:rPr>
        <w:t>1.</w:t>
      </w:r>
      <w:r>
        <w:rPr>
          <w:rFonts w:eastAsia="仿宋_GB2312"/>
          <w:sz w:val="32"/>
          <w:szCs w:val="32"/>
        </w:rPr>
        <w:t>《中华人民共和国渔业法》</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2.</w:t>
      </w:r>
      <w:r>
        <w:rPr>
          <w:rFonts w:eastAsia="仿宋_GB2312"/>
          <w:sz w:val="32"/>
          <w:szCs w:val="32"/>
        </w:rPr>
        <w:t>《中华人民共和国渔业法实施细则》</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3.</w:t>
      </w:r>
      <w:r>
        <w:rPr>
          <w:rFonts w:eastAsia="仿宋_GB2312"/>
          <w:sz w:val="32"/>
          <w:szCs w:val="32"/>
        </w:rPr>
        <w:t>《中华人民共和国野生动物保护法》</w:t>
      </w:r>
    </w:p>
    <w:p>
      <w:pPr>
        <w:spacing w:line="520" w:lineRule="exact"/>
        <w:ind w:firstLine="640" w:firstLineChars="200"/>
        <w:jc w:val="left"/>
        <w:rPr>
          <w:rFonts w:eastAsia="仿宋_GB2312"/>
          <w:sz w:val="32"/>
          <w:szCs w:val="32"/>
        </w:rPr>
      </w:pPr>
      <w:r>
        <w:rPr>
          <w:rFonts w:hint="eastAsia" w:eastAsia="仿宋_GB2312"/>
          <w:sz w:val="32"/>
          <w:lang w:val="en-US" w:eastAsia="zh-CN"/>
        </w:rPr>
        <w:t>4.</w:t>
      </w:r>
      <w:r>
        <w:rPr>
          <w:rFonts w:eastAsia="仿宋_GB2312"/>
          <w:sz w:val="32"/>
        </w:rPr>
        <w:t>《中国水生生物资源养护行动纲要》</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5.</w:t>
      </w:r>
      <w:r>
        <w:rPr>
          <w:rFonts w:eastAsia="仿宋_GB2312"/>
          <w:sz w:val="32"/>
          <w:szCs w:val="32"/>
        </w:rPr>
        <w:t>《江苏省渔业管理条例》</w:t>
      </w:r>
    </w:p>
    <w:p>
      <w:pPr>
        <w:spacing w:line="520" w:lineRule="exact"/>
        <w:ind w:firstLine="640" w:firstLineChars="200"/>
        <w:jc w:val="left"/>
        <w:rPr>
          <w:rFonts w:hint="eastAsia" w:eastAsia="仿宋_GB2312"/>
          <w:sz w:val="32"/>
          <w:szCs w:val="32"/>
          <w:lang w:val="en-US" w:eastAsia="zh-CN"/>
        </w:rPr>
      </w:pPr>
      <w:r>
        <w:rPr>
          <w:rFonts w:hint="eastAsia" w:eastAsia="仿宋_GB2312"/>
          <w:sz w:val="32"/>
          <w:szCs w:val="32"/>
          <w:lang w:val="en-US" w:eastAsia="zh-CN"/>
        </w:rPr>
        <w:t>6.《</w:t>
      </w:r>
      <w:r>
        <w:rPr>
          <w:rFonts w:eastAsia="仿宋_GB2312"/>
          <w:sz w:val="32"/>
          <w:szCs w:val="32"/>
        </w:rPr>
        <w:t>江苏省洪泽湖保护条例</w:t>
      </w:r>
      <w:r>
        <w:rPr>
          <w:rFonts w:hint="eastAsia" w:eastAsia="仿宋_GB2312"/>
          <w:sz w:val="32"/>
          <w:szCs w:val="32"/>
          <w:lang w:val="en-US" w:eastAsia="zh-CN"/>
        </w:rPr>
        <w:t>》</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7.</w:t>
      </w:r>
      <w:r>
        <w:rPr>
          <w:rFonts w:eastAsia="仿宋_GB2312"/>
          <w:sz w:val="32"/>
          <w:szCs w:val="32"/>
        </w:rPr>
        <w:t>《农业农村部关于长江流域重点水域禁捕范围和时间的通告》（农业农村部〔2019〕）4号）</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8.</w:t>
      </w:r>
      <w:r>
        <w:rPr>
          <w:rFonts w:eastAsia="仿宋_GB2312"/>
          <w:sz w:val="32"/>
          <w:szCs w:val="32"/>
        </w:rPr>
        <w:t>《省政府印发关于全面推进我省长江流域禁捕退捕工作实施方案的通知》（苏政发〔2020〕）58号）</w:t>
      </w:r>
    </w:p>
    <w:p>
      <w:pPr>
        <w:spacing w:line="520" w:lineRule="exact"/>
        <w:ind w:firstLine="640" w:firstLineChars="200"/>
        <w:jc w:val="left"/>
        <w:rPr>
          <w:rFonts w:eastAsia="黑体"/>
          <w:sz w:val="32"/>
          <w:szCs w:val="32"/>
        </w:rPr>
      </w:pPr>
      <w:r>
        <w:rPr>
          <w:rFonts w:hint="eastAsia" w:eastAsia="黑体"/>
          <w:sz w:val="32"/>
          <w:szCs w:val="32"/>
          <w:lang w:val="en-US" w:eastAsia="zh-CN"/>
        </w:rPr>
        <w:t>三</w:t>
      </w:r>
      <w:r>
        <w:rPr>
          <w:rFonts w:eastAsia="黑体"/>
          <w:sz w:val="32"/>
          <w:szCs w:val="32"/>
        </w:rPr>
        <w:t>、</w:t>
      </w:r>
      <w:r>
        <w:rPr>
          <w:rFonts w:hint="eastAsia" w:eastAsia="黑体"/>
          <w:sz w:val="32"/>
          <w:szCs w:val="32"/>
          <w:lang w:val="en-US" w:eastAsia="zh-CN"/>
        </w:rPr>
        <w:t>起草</w:t>
      </w:r>
      <w:r>
        <w:rPr>
          <w:rFonts w:eastAsia="黑体"/>
          <w:sz w:val="32"/>
          <w:szCs w:val="32"/>
        </w:rPr>
        <w:t>过程</w:t>
      </w:r>
    </w:p>
    <w:p>
      <w:pPr>
        <w:spacing w:line="520" w:lineRule="exact"/>
        <w:jc w:val="left"/>
        <w:rPr>
          <w:rFonts w:eastAsia="仿宋_GB2312"/>
          <w:sz w:val="32"/>
          <w:szCs w:val="32"/>
        </w:rPr>
      </w:pPr>
      <w:r>
        <w:rPr>
          <w:rFonts w:eastAsia="仿宋_GB2312"/>
          <w:sz w:val="32"/>
          <w:szCs w:val="32"/>
        </w:rPr>
        <w:t xml:space="preserve">    </w:t>
      </w:r>
      <w:r>
        <w:rPr>
          <w:rFonts w:eastAsia="仿宋_GB2312"/>
          <w:sz w:val="32"/>
        </w:rPr>
        <w:t>按照规范性文件制定计划，依据渔业法律法规及相关政策调整变化的实际，</w:t>
      </w:r>
      <w:r>
        <w:rPr>
          <w:rFonts w:eastAsia="仿宋_GB2312"/>
          <w:sz w:val="32"/>
          <w:szCs w:val="32"/>
        </w:rPr>
        <w:t>江苏省</w:t>
      </w:r>
      <w:r>
        <w:rPr>
          <w:rFonts w:hint="eastAsia" w:eastAsia="仿宋_GB2312"/>
          <w:sz w:val="32"/>
          <w:szCs w:val="32"/>
          <w:lang w:eastAsia="zh-CN"/>
        </w:rPr>
        <w:t>洪泽湖</w:t>
      </w:r>
      <w:r>
        <w:rPr>
          <w:rFonts w:eastAsia="仿宋_GB2312"/>
          <w:sz w:val="32"/>
          <w:szCs w:val="32"/>
        </w:rPr>
        <w:t>渔业管理委员会办公室</w:t>
      </w:r>
      <w:r>
        <w:rPr>
          <w:rFonts w:eastAsia="仿宋_GB2312"/>
          <w:sz w:val="32"/>
        </w:rPr>
        <w:t>组织人员于2024年3月起草制定</w:t>
      </w:r>
      <w:r>
        <w:rPr>
          <w:rFonts w:hint="eastAsia" w:eastAsia="仿宋_GB2312"/>
          <w:sz w:val="32"/>
        </w:rPr>
        <w:t>了</w:t>
      </w:r>
      <w:r>
        <w:rPr>
          <w:rFonts w:eastAsia="仿宋_GB2312"/>
          <w:sz w:val="32"/>
        </w:rPr>
        <w:t>《规定》（草案）</w:t>
      </w:r>
      <w:r>
        <w:rPr>
          <w:rFonts w:hint="eastAsia" w:eastAsia="仿宋_GB2312"/>
          <w:sz w:val="32"/>
        </w:rPr>
        <w:t>。</w:t>
      </w:r>
      <w:r>
        <w:rPr>
          <w:rFonts w:eastAsia="仿宋_GB2312"/>
          <w:sz w:val="32"/>
        </w:rPr>
        <w:t>2024年4月</w:t>
      </w:r>
      <w:r>
        <w:rPr>
          <w:rFonts w:hint="eastAsia" w:eastAsia="仿宋_GB2312"/>
          <w:sz w:val="32"/>
          <w:lang w:val="en-US" w:eastAsia="zh-CN"/>
        </w:rPr>
        <w:t>9</w:t>
      </w:r>
      <w:r>
        <w:rPr>
          <w:rFonts w:eastAsia="仿宋_GB2312"/>
          <w:sz w:val="32"/>
        </w:rPr>
        <w:t>日</w:t>
      </w:r>
      <w:r>
        <w:rPr>
          <w:rFonts w:hint="eastAsia" w:eastAsia="仿宋_GB2312"/>
          <w:sz w:val="32"/>
        </w:rPr>
        <w:t>，又</w:t>
      </w:r>
      <w:r>
        <w:rPr>
          <w:rFonts w:eastAsia="仿宋_GB2312"/>
          <w:sz w:val="32"/>
        </w:rPr>
        <w:t>组织沿湖</w:t>
      </w:r>
      <w:r>
        <w:rPr>
          <w:rFonts w:hint="eastAsia" w:eastAsia="仿宋_GB2312"/>
          <w:sz w:val="32"/>
        </w:rPr>
        <w:t>市、县（区）渔业行政主管部门和</w:t>
      </w:r>
      <w:r>
        <w:rPr>
          <w:rFonts w:eastAsia="仿宋_GB2312"/>
          <w:sz w:val="32"/>
        </w:rPr>
        <w:t>沿湖村（居）干部</w:t>
      </w:r>
      <w:r>
        <w:rPr>
          <w:rFonts w:hint="eastAsia" w:eastAsia="仿宋_GB2312"/>
          <w:sz w:val="32"/>
        </w:rPr>
        <w:t>群众</w:t>
      </w:r>
      <w:r>
        <w:rPr>
          <w:rFonts w:eastAsia="仿宋_GB2312"/>
          <w:sz w:val="32"/>
        </w:rPr>
        <w:t>代表召开征求意见座谈会，</w:t>
      </w:r>
      <w:r>
        <w:rPr>
          <w:rFonts w:hint="eastAsia" w:eastAsia="仿宋_GB2312"/>
          <w:sz w:val="32"/>
        </w:rPr>
        <w:t>并</w:t>
      </w:r>
      <w:r>
        <w:rPr>
          <w:rFonts w:eastAsia="仿宋_GB2312"/>
          <w:sz w:val="32"/>
        </w:rPr>
        <w:t>根据座谈会的意见对《规定》</w:t>
      </w:r>
      <w:r>
        <w:rPr>
          <w:rFonts w:hint="eastAsia" w:eastAsia="仿宋_GB2312"/>
          <w:sz w:val="32"/>
        </w:rPr>
        <w:t>（草案）</w:t>
      </w:r>
      <w:r>
        <w:rPr>
          <w:rFonts w:hint="eastAsia" w:eastAsia="仿宋_GB2312"/>
          <w:sz w:val="32"/>
          <w:lang w:eastAsia="zh-CN"/>
        </w:rPr>
        <w:t>作了</w:t>
      </w:r>
      <w:r>
        <w:rPr>
          <w:rFonts w:eastAsia="仿宋_GB2312"/>
          <w:sz w:val="32"/>
        </w:rPr>
        <w:t>进一步</w:t>
      </w:r>
      <w:r>
        <w:rPr>
          <w:rFonts w:hint="eastAsia" w:eastAsia="仿宋_GB2312"/>
          <w:sz w:val="32"/>
          <w:lang w:val="en-US" w:eastAsia="zh-CN"/>
        </w:rPr>
        <w:t>修改</w:t>
      </w:r>
      <w:r>
        <w:rPr>
          <w:rFonts w:eastAsia="仿宋_GB2312"/>
          <w:sz w:val="32"/>
        </w:rPr>
        <w:t>完善，形成《规定》（征求意见稿）。</w:t>
      </w:r>
    </w:p>
    <w:p>
      <w:pPr>
        <w:spacing w:line="520" w:lineRule="exact"/>
        <w:ind w:firstLine="640" w:firstLineChars="200"/>
        <w:jc w:val="left"/>
        <w:rPr>
          <w:rFonts w:eastAsia="黑体"/>
          <w:sz w:val="32"/>
          <w:szCs w:val="32"/>
        </w:rPr>
      </w:pPr>
      <w:r>
        <w:rPr>
          <w:rFonts w:hint="eastAsia" w:eastAsia="黑体"/>
          <w:sz w:val="32"/>
          <w:szCs w:val="32"/>
          <w:lang w:val="en-US" w:eastAsia="zh-CN"/>
        </w:rPr>
        <w:t>四</w:t>
      </w:r>
      <w:r>
        <w:rPr>
          <w:rFonts w:eastAsia="黑体"/>
          <w:sz w:val="32"/>
          <w:szCs w:val="32"/>
        </w:rPr>
        <w:t>、主要内容</w:t>
      </w:r>
    </w:p>
    <w:p>
      <w:pPr>
        <w:spacing w:line="520" w:lineRule="exact"/>
        <w:ind w:firstLine="640" w:firstLineChars="200"/>
        <w:jc w:val="left"/>
        <w:rPr>
          <w:rFonts w:eastAsia="仿宋_GB2312"/>
          <w:sz w:val="32"/>
          <w:szCs w:val="32"/>
        </w:rPr>
      </w:pPr>
      <w:r>
        <w:rPr>
          <w:rFonts w:eastAsia="仿宋_GB2312"/>
          <w:sz w:val="32"/>
          <w:szCs w:val="32"/>
        </w:rPr>
        <w:t>《规定》共十</w:t>
      </w:r>
      <w:r>
        <w:rPr>
          <w:rFonts w:hint="eastAsia" w:eastAsia="仿宋_GB2312"/>
          <w:sz w:val="32"/>
          <w:szCs w:val="32"/>
        </w:rPr>
        <w:t>一</w:t>
      </w:r>
      <w:r>
        <w:rPr>
          <w:rFonts w:eastAsia="仿宋_GB2312"/>
          <w:sz w:val="32"/>
          <w:szCs w:val="32"/>
        </w:rPr>
        <w:t>条，对</w:t>
      </w:r>
      <w:r>
        <w:rPr>
          <w:rFonts w:hint="eastAsia" w:eastAsia="仿宋_GB2312"/>
          <w:sz w:val="32"/>
          <w:szCs w:val="32"/>
          <w:lang w:val="en-US" w:eastAsia="zh-CN"/>
        </w:rPr>
        <w:t>制定目的、</w:t>
      </w:r>
      <w:r>
        <w:rPr>
          <w:rFonts w:eastAsia="仿宋_GB2312"/>
          <w:sz w:val="32"/>
          <w:szCs w:val="32"/>
        </w:rPr>
        <w:t>适用范围、职责分工、禁渔制度、禁用渔具渔法、养殖管理、捕捞管理、生物安全、损害赔偿、处罚措施</w:t>
      </w:r>
      <w:r>
        <w:rPr>
          <w:rFonts w:hint="eastAsia" w:eastAsia="仿宋_GB2312"/>
          <w:sz w:val="32"/>
          <w:szCs w:val="32"/>
        </w:rPr>
        <w:t>、实施时间</w:t>
      </w:r>
      <w:r>
        <w:rPr>
          <w:rFonts w:eastAsia="仿宋_GB2312"/>
          <w:sz w:val="32"/>
          <w:szCs w:val="32"/>
        </w:rPr>
        <w:t>等进行了规范，主要包括以下内容：</w:t>
      </w:r>
    </w:p>
    <w:p>
      <w:pPr>
        <w:spacing w:line="520" w:lineRule="exact"/>
        <w:ind w:firstLine="640" w:firstLineChars="200"/>
        <w:jc w:val="left"/>
        <w:rPr>
          <w:rFonts w:hint="eastAsia" w:ascii="楷体_GB2312" w:eastAsia="楷体_GB2312"/>
          <w:sz w:val="32"/>
          <w:szCs w:val="32"/>
        </w:rPr>
      </w:pPr>
      <w:r>
        <w:rPr>
          <w:rFonts w:hint="eastAsia" w:ascii="楷体_GB2312" w:eastAsia="楷体_GB2312"/>
          <w:sz w:val="32"/>
          <w:szCs w:val="32"/>
        </w:rPr>
        <w:t>（一）关于适用范围</w:t>
      </w:r>
    </w:p>
    <w:p>
      <w:pPr>
        <w:spacing w:line="520" w:lineRule="exact"/>
        <w:ind w:firstLine="640" w:firstLineChars="200"/>
        <w:jc w:val="left"/>
        <w:rPr>
          <w:rFonts w:hint="eastAsia" w:eastAsia="仿宋_GB2312"/>
          <w:sz w:val="32"/>
          <w:szCs w:val="32"/>
          <w:lang w:val="en-US" w:eastAsia="zh-CN"/>
        </w:rPr>
      </w:pPr>
      <w:r>
        <w:rPr>
          <w:rFonts w:hint="eastAsia" w:eastAsia="仿宋_GB2312"/>
          <w:sz w:val="32"/>
          <w:szCs w:val="32"/>
          <w:lang w:val="en-US" w:eastAsia="zh-CN"/>
        </w:rPr>
        <w:t>明确适用对象为在洪泽湖从事渔业生产以及相关活动的单位和个人，应当遵守本《规定》。禁渔范围包括包括成子湖、圣山湖及与洪泽湖相连的湖荡、湖湾、湿地，入湖河道以河口两岸连线向湖外延伸1公里处为界。</w:t>
      </w:r>
    </w:p>
    <w:p>
      <w:pPr>
        <w:spacing w:line="520" w:lineRule="exact"/>
        <w:ind w:firstLine="640" w:firstLineChars="200"/>
        <w:jc w:val="left"/>
        <w:rPr>
          <w:rFonts w:hint="eastAsia" w:ascii="楷体_GB2312" w:eastAsia="楷体_GB2312"/>
          <w:sz w:val="32"/>
          <w:szCs w:val="32"/>
        </w:rPr>
      </w:pPr>
      <w:r>
        <w:rPr>
          <w:rFonts w:ascii="楷体_GB2312" w:eastAsia="楷体_GB2312"/>
          <w:sz w:val="32"/>
          <w:szCs w:val="32"/>
        </w:rPr>
        <w:t>（二）关于职责分工</w:t>
      </w:r>
    </w:p>
    <w:p>
      <w:pPr>
        <w:spacing w:line="520" w:lineRule="exact"/>
        <w:ind w:firstLine="640" w:firstLineChars="200"/>
        <w:jc w:val="left"/>
        <w:rPr>
          <w:rFonts w:eastAsia="仿宋_GB2312"/>
          <w:sz w:val="32"/>
          <w:szCs w:val="32"/>
        </w:rPr>
      </w:pPr>
      <w:r>
        <w:rPr>
          <w:rFonts w:hint="eastAsia" w:eastAsia="仿宋_GB2312"/>
          <w:sz w:val="32"/>
          <w:szCs w:val="32"/>
          <w:lang w:val="en-US" w:eastAsia="zh-CN"/>
        </w:rPr>
        <w:t>明确</w:t>
      </w:r>
      <w:r>
        <w:rPr>
          <w:rFonts w:eastAsia="仿宋_GB2312"/>
          <w:sz w:val="32"/>
          <w:szCs w:val="32"/>
        </w:rPr>
        <w:t>江苏省</w:t>
      </w:r>
      <w:r>
        <w:rPr>
          <w:rFonts w:hint="eastAsia" w:eastAsia="仿宋_GB2312"/>
          <w:sz w:val="32"/>
          <w:szCs w:val="32"/>
          <w:lang w:eastAsia="zh-CN"/>
        </w:rPr>
        <w:t>洪泽湖</w:t>
      </w:r>
      <w:r>
        <w:rPr>
          <w:rFonts w:eastAsia="仿宋_GB2312"/>
          <w:sz w:val="32"/>
          <w:szCs w:val="32"/>
        </w:rPr>
        <w:t>渔业管理委员会办公室负责</w:t>
      </w:r>
      <w:r>
        <w:rPr>
          <w:rFonts w:hint="eastAsia" w:eastAsia="仿宋_GB2312"/>
          <w:sz w:val="32"/>
          <w:szCs w:val="32"/>
          <w:lang w:eastAsia="zh-CN"/>
        </w:rPr>
        <w:t>洪泽湖</w:t>
      </w:r>
      <w:r>
        <w:rPr>
          <w:rFonts w:eastAsia="仿宋_GB2312"/>
          <w:sz w:val="32"/>
          <w:szCs w:val="32"/>
        </w:rPr>
        <w:t>渔业管理工作；沿湖设区的市、县（市、区）渔业行政主管部门按照各自职责，协同做好相关工作。</w:t>
      </w:r>
    </w:p>
    <w:p>
      <w:pPr>
        <w:spacing w:line="520" w:lineRule="exact"/>
        <w:ind w:firstLine="640" w:firstLineChars="200"/>
        <w:jc w:val="left"/>
        <w:rPr>
          <w:rFonts w:hint="eastAsia" w:ascii="楷体_GB2312" w:eastAsia="楷体_GB2312"/>
          <w:sz w:val="32"/>
          <w:szCs w:val="32"/>
        </w:rPr>
      </w:pPr>
      <w:r>
        <w:rPr>
          <w:rFonts w:ascii="楷体_GB2312" w:eastAsia="楷体_GB2312"/>
          <w:sz w:val="32"/>
          <w:szCs w:val="32"/>
        </w:rPr>
        <w:t>（三）关于禁渔制度</w:t>
      </w:r>
    </w:p>
    <w:p>
      <w:pPr>
        <w:spacing w:line="520" w:lineRule="exact"/>
        <w:ind w:firstLine="640" w:firstLineChars="200"/>
        <w:jc w:val="left"/>
        <w:rPr>
          <w:rFonts w:eastAsia="仿宋_GB2312"/>
          <w:sz w:val="32"/>
          <w:szCs w:val="32"/>
        </w:rPr>
      </w:pPr>
      <w:r>
        <w:rPr>
          <w:rFonts w:eastAsia="仿宋_GB2312"/>
          <w:sz w:val="32"/>
          <w:szCs w:val="32"/>
        </w:rPr>
        <w:t>明确</w:t>
      </w:r>
      <w:r>
        <w:rPr>
          <w:rFonts w:hint="eastAsia" w:eastAsia="仿宋_GB2312"/>
          <w:sz w:val="32"/>
          <w:szCs w:val="32"/>
          <w:lang w:val="en-US" w:eastAsia="zh-CN"/>
        </w:rPr>
        <w:t>6</w:t>
      </w:r>
      <w:r>
        <w:rPr>
          <w:rFonts w:eastAsia="仿宋_GB2312"/>
          <w:sz w:val="32"/>
          <w:szCs w:val="32"/>
        </w:rPr>
        <w:t>个国家级水产种质资源保护区全面禁捕。</w:t>
      </w:r>
      <w:r>
        <w:rPr>
          <w:rFonts w:hint="eastAsia" w:eastAsia="仿宋_GB2312"/>
          <w:sz w:val="32"/>
          <w:szCs w:val="32"/>
          <w:lang w:val="en-US" w:eastAsia="zh-CN"/>
        </w:rPr>
        <w:t>明确</w:t>
      </w:r>
      <w:r>
        <w:rPr>
          <w:rFonts w:eastAsia="仿宋_GB2312"/>
          <w:sz w:val="32"/>
          <w:szCs w:val="32"/>
        </w:rPr>
        <w:t>禁渔期为5个月，时间为每年的2月1日0时起至6月30日24时止。</w:t>
      </w:r>
    </w:p>
    <w:p>
      <w:pPr>
        <w:spacing w:line="520" w:lineRule="exact"/>
        <w:ind w:firstLine="640" w:firstLineChars="200"/>
        <w:jc w:val="left"/>
        <w:rPr>
          <w:rFonts w:ascii="楷体_GB2312" w:eastAsia="楷体_GB2312"/>
          <w:sz w:val="32"/>
          <w:szCs w:val="32"/>
        </w:rPr>
      </w:pPr>
      <w:r>
        <w:rPr>
          <w:rFonts w:ascii="楷体_GB2312" w:eastAsia="楷体_GB2312"/>
          <w:sz w:val="32"/>
          <w:szCs w:val="32"/>
        </w:rPr>
        <w:t>（四）关于禁用渔具渔法</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jc w:val="left"/>
        <w:textAlignment w:val="auto"/>
        <w:rPr>
          <w:rFonts w:hint="eastAsia" w:eastAsia="仿宋_GB2312"/>
          <w:sz w:val="32"/>
          <w:szCs w:val="32"/>
        </w:rPr>
      </w:pPr>
      <w:bookmarkStart w:id="0" w:name="_GoBack"/>
      <w:bookmarkEnd w:id="0"/>
      <w:r>
        <w:rPr>
          <w:rFonts w:eastAsia="仿宋_GB2312"/>
          <w:sz w:val="32"/>
          <w:szCs w:val="32"/>
        </w:rPr>
        <w:t>制定《</w:t>
      </w:r>
      <w:r>
        <w:rPr>
          <w:rFonts w:hint="eastAsia" w:eastAsia="仿宋_GB2312"/>
          <w:sz w:val="32"/>
          <w:szCs w:val="32"/>
          <w:lang w:eastAsia="zh-CN"/>
        </w:rPr>
        <w:t>洪泽湖</w:t>
      </w:r>
      <w:r>
        <w:rPr>
          <w:rFonts w:eastAsia="仿宋_GB2312"/>
          <w:sz w:val="32"/>
          <w:szCs w:val="32"/>
        </w:rPr>
        <w:t>禁用渔具名录》，明确7类16种禁用渔具</w:t>
      </w:r>
      <w:r>
        <w:rPr>
          <w:rFonts w:hint="eastAsia" w:eastAsia="仿宋_GB2312"/>
          <w:sz w:val="32"/>
          <w:szCs w:val="32"/>
        </w:rPr>
        <w:t>。</w:t>
      </w:r>
    </w:p>
    <w:p>
      <w:pPr>
        <w:spacing w:line="520" w:lineRule="exact"/>
        <w:ind w:left="638" w:leftChars="304"/>
        <w:jc w:val="left"/>
        <w:rPr>
          <w:rFonts w:eastAsia="仿宋_GB2312"/>
          <w:sz w:val="32"/>
          <w:szCs w:val="32"/>
        </w:rPr>
      </w:pPr>
      <w:r>
        <w:rPr>
          <w:rFonts w:ascii="楷体_GB2312" w:eastAsia="楷体_GB2312"/>
          <w:sz w:val="32"/>
          <w:szCs w:val="32"/>
        </w:rPr>
        <w:t>（五）关于养殖管理</w:t>
      </w:r>
    </w:p>
    <w:p>
      <w:pPr>
        <w:spacing w:line="520" w:lineRule="exact"/>
        <w:ind w:firstLine="640" w:firstLineChars="200"/>
        <w:jc w:val="left"/>
        <w:rPr>
          <w:rFonts w:eastAsia="仿宋_GB2312"/>
          <w:bCs/>
          <w:sz w:val="32"/>
          <w:szCs w:val="32"/>
        </w:rPr>
      </w:pPr>
      <w:r>
        <w:rPr>
          <w:rFonts w:eastAsia="仿宋_GB2312"/>
          <w:bCs/>
          <w:sz w:val="32"/>
          <w:szCs w:val="32"/>
        </w:rPr>
        <w:t>明确养殖生产应科学使用投入品，禁止电力清塘和药物清塘。</w:t>
      </w:r>
    </w:p>
    <w:p>
      <w:pPr>
        <w:spacing w:line="520" w:lineRule="exact"/>
        <w:ind w:firstLine="640" w:firstLineChars="200"/>
        <w:jc w:val="left"/>
        <w:rPr>
          <w:rFonts w:ascii="楷体_GB2312" w:eastAsia="楷体_GB2312"/>
          <w:sz w:val="32"/>
          <w:szCs w:val="32"/>
        </w:rPr>
      </w:pPr>
      <w:r>
        <w:rPr>
          <w:rFonts w:ascii="楷体_GB2312" w:eastAsia="楷体_GB2312"/>
          <w:sz w:val="32"/>
          <w:szCs w:val="32"/>
        </w:rPr>
        <w:t>（六）关于捕捞管理</w:t>
      </w:r>
    </w:p>
    <w:p>
      <w:pPr>
        <w:spacing w:line="520" w:lineRule="exact"/>
        <w:ind w:firstLine="640"/>
        <w:jc w:val="left"/>
        <w:rPr>
          <w:rStyle w:val="10"/>
          <w:rFonts w:hint="eastAsia" w:ascii="Times New Roman" w:hAnsi="Times New Roman" w:eastAsia="仿宋_GB2312"/>
          <w:sz w:val="32"/>
          <w:szCs w:val="32"/>
        </w:rPr>
      </w:pPr>
      <w:r>
        <w:rPr>
          <w:rFonts w:eastAsia="仿宋_GB2312"/>
          <w:bCs/>
          <w:sz w:val="32"/>
          <w:szCs w:val="32"/>
        </w:rPr>
        <w:t>明确</w:t>
      </w:r>
      <w:r>
        <w:rPr>
          <w:rStyle w:val="10"/>
          <w:rFonts w:ascii="Times New Roman" w:hAnsi="Times New Roman" w:eastAsia="仿宋_GB2312"/>
          <w:sz w:val="32"/>
          <w:szCs w:val="32"/>
        </w:rPr>
        <w:t>因教学、科研</w:t>
      </w:r>
      <w:r>
        <w:rPr>
          <w:rStyle w:val="10"/>
          <w:rFonts w:hint="eastAsia" w:ascii="Times New Roman" w:hAnsi="Times New Roman" w:eastAsia="仿宋_GB2312"/>
          <w:sz w:val="32"/>
          <w:szCs w:val="32"/>
        </w:rPr>
        <w:t>、监测</w:t>
      </w:r>
      <w:r>
        <w:rPr>
          <w:rStyle w:val="10"/>
          <w:rFonts w:ascii="Times New Roman" w:hAnsi="Times New Roman" w:eastAsia="仿宋_GB2312"/>
          <w:sz w:val="32"/>
          <w:szCs w:val="32"/>
        </w:rPr>
        <w:t>等特殊需要捕捞渔业资源的</w:t>
      </w:r>
      <w:r>
        <w:rPr>
          <w:rStyle w:val="10"/>
          <w:rFonts w:hint="eastAsia" w:eastAsia="仿宋_GB2312"/>
          <w:sz w:val="32"/>
          <w:szCs w:val="32"/>
          <w:lang w:eastAsia="zh-CN"/>
        </w:rPr>
        <w:t>，</w:t>
      </w:r>
      <w:r>
        <w:rPr>
          <w:rStyle w:val="10"/>
          <w:rFonts w:ascii="Times New Roman" w:hAnsi="Times New Roman" w:eastAsia="仿宋_GB2312"/>
          <w:sz w:val="32"/>
          <w:szCs w:val="32"/>
        </w:rPr>
        <w:t>应申请专项（特许）捕捞许可证。</w:t>
      </w:r>
    </w:p>
    <w:p>
      <w:pPr>
        <w:spacing w:line="520" w:lineRule="exact"/>
        <w:ind w:firstLine="640"/>
        <w:jc w:val="left"/>
        <w:rPr>
          <w:rFonts w:ascii="楷体_GB2312" w:eastAsia="楷体_GB2312"/>
          <w:sz w:val="32"/>
          <w:szCs w:val="32"/>
        </w:rPr>
      </w:pPr>
      <w:r>
        <w:rPr>
          <w:rFonts w:hint="eastAsia" w:ascii="楷体_GB2312" w:eastAsia="楷体_GB2312"/>
          <w:sz w:val="32"/>
          <w:szCs w:val="32"/>
        </w:rPr>
        <w:t>（七）</w:t>
      </w:r>
      <w:r>
        <w:rPr>
          <w:rFonts w:ascii="楷体_GB2312" w:eastAsia="楷体_GB2312"/>
          <w:sz w:val="32"/>
          <w:szCs w:val="32"/>
        </w:rPr>
        <w:t>关于生物安全</w:t>
      </w:r>
    </w:p>
    <w:p>
      <w:pPr>
        <w:spacing w:line="520" w:lineRule="exact"/>
        <w:jc w:val="left"/>
        <w:rPr>
          <w:rFonts w:eastAsia="仿宋_GB2312"/>
          <w:sz w:val="32"/>
          <w:szCs w:val="32"/>
        </w:rPr>
      </w:pPr>
      <w:r>
        <w:rPr>
          <w:rStyle w:val="10"/>
          <w:rFonts w:ascii="Times New Roman" w:hAnsi="Times New Roman" w:eastAsia="仿宋_GB2312"/>
          <w:sz w:val="32"/>
          <w:szCs w:val="32"/>
        </w:rPr>
        <w:t xml:space="preserve">    </w:t>
      </w:r>
      <w:r>
        <w:rPr>
          <w:rFonts w:eastAsia="仿宋_GB2312"/>
          <w:sz w:val="32"/>
          <w:szCs w:val="32"/>
        </w:rPr>
        <w:t xml:space="preserve"> 明确任何单位和个人未经批准，不得擅自引进、释放或者丢弃外来物种。</w:t>
      </w:r>
    </w:p>
    <w:p>
      <w:pPr>
        <w:spacing w:line="520" w:lineRule="exact"/>
        <w:ind w:firstLine="640"/>
        <w:jc w:val="left"/>
        <w:rPr>
          <w:rFonts w:ascii="楷体_GB2312" w:eastAsia="楷体_GB2312"/>
          <w:sz w:val="32"/>
          <w:szCs w:val="32"/>
        </w:rPr>
      </w:pPr>
      <w:r>
        <w:rPr>
          <w:rFonts w:ascii="楷体_GB2312" w:eastAsia="楷体_GB2312"/>
          <w:sz w:val="32"/>
          <w:szCs w:val="32"/>
        </w:rPr>
        <w:t>（八）关于损害赔偿</w:t>
      </w:r>
    </w:p>
    <w:p>
      <w:pPr>
        <w:spacing w:line="520" w:lineRule="exact"/>
        <w:ind w:left="420" w:leftChars="200"/>
        <w:jc w:val="left"/>
        <w:rPr>
          <w:rFonts w:eastAsia="仿宋_GB2312"/>
          <w:sz w:val="32"/>
          <w:szCs w:val="32"/>
          <w:shd w:val="clear" w:color="auto" w:fill="FFFFFF"/>
        </w:rPr>
      </w:pPr>
      <w:r>
        <w:rPr>
          <w:rFonts w:eastAsia="仿宋_GB2312"/>
          <w:sz w:val="32"/>
          <w:szCs w:val="32"/>
        </w:rPr>
        <w:t xml:space="preserve">  明确因水工建设等</w:t>
      </w:r>
      <w:r>
        <w:rPr>
          <w:rFonts w:eastAsia="仿宋_GB2312"/>
          <w:sz w:val="32"/>
          <w:szCs w:val="32"/>
          <w:shd w:val="clear" w:color="auto" w:fill="FFFFFF"/>
        </w:rPr>
        <w:t>对渔业资源造成损失的，应当予以赔偿。</w:t>
      </w:r>
    </w:p>
    <w:p>
      <w:pPr>
        <w:spacing w:line="520" w:lineRule="exact"/>
        <w:ind w:firstLine="640"/>
        <w:jc w:val="left"/>
        <w:rPr>
          <w:rFonts w:ascii="楷体_GB2312" w:eastAsia="楷体_GB2312"/>
          <w:sz w:val="32"/>
          <w:szCs w:val="32"/>
        </w:rPr>
      </w:pPr>
      <w:r>
        <w:rPr>
          <w:rFonts w:ascii="楷体_GB2312" w:eastAsia="楷体_GB2312"/>
          <w:sz w:val="32"/>
          <w:szCs w:val="32"/>
        </w:rPr>
        <w:t>（九）关于处罚措施</w:t>
      </w:r>
    </w:p>
    <w:p>
      <w:pPr>
        <w:spacing w:line="520" w:lineRule="exact"/>
        <w:ind w:firstLine="640" w:firstLineChars="200"/>
        <w:jc w:val="left"/>
        <w:rPr>
          <w:rFonts w:eastAsia="仿宋_GB2312"/>
          <w:sz w:val="32"/>
          <w:szCs w:val="32"/>
          <w:shd w:val="clear" w:color="auto" w:fill="FFFFFF"/>
        </w:rPr>
      </w:pPr>
      <w:r>
        <w:rPr>
          <w:rFonts w:eastAsia="仿宋_GB2312"/>
          <w:sz w:val="32"/>
          <w:szCs w:val="32"/>
          <w:shd w:val="clear" w:color="auto" w:fill="FFFFFF"/>
        </w:rPr>
        <w:t>明确</w:t>
      </w:r>
      <w:r>
        <w:rPr>
          <w:rFonts w:eastAsia="仿宋_GB2312"/>
          <w:sz w:val="32"/>
          <w:szCs w:val="32"/>
        </w:rPr>
        <w:t>对违反渔业法律法规和本</w:t>
      </w:r>
      <w:r>
        <w:rPr>
          <w:rFonts w:hint="eastAsia" w:eastAsia="仿宋_GB2312"/>
          <w:sz w:val="32"/>
          <w:szCs w:val="32"/>
          <w:lang w:eastAsia="zh-CN"/>
        </w:rPr>
        <w:t>《</w:t>
      </w:r>
      <w:r>
        <w:rPr>
          <w:rFonts w:eastAsia="仿宋_GB2312"/>
          <w:sz w:val="32"/>
          <w:szCs w:val="32"/>
        </w:rPr>
        <w:t>规定</w:t>
      </w:r>
      <w:r>
        <w:rPr>
          <w:rFonts w:hint="eastAsia" w:eastAsia="仿宋_GB2312"/>
          <w:sz w:val="32"/>
          <w:szCs w:val="32"/>
          <w:lang w:eastAsia="zh-CN"/>
        </w:rPr>
        <w:t>》</w:t>
      </w:r>
      <w:r>
        <w:rPr>
          <w:rFonts w:eastAsia="仿宋_GB2312"/>
          <w:sz w:val="32"/>
          <w:szCs w:val="32"/>
        </w:rPr>
        <w:t>的单位和个人，</w:t>
      </w:r>
      <w:r>
        <w:rPr>
          <w:rFonts w:eastAsia="仿宋_GB2312"/>
          <w:sz w:val="32"/>
          <w:szCs w:val="32"/>
          <w:shd w:val="clear" w:color="auto" w:fill="FFFFFF"/>
        </w:rPr>
        <w:t>按照相关法律法规给予处罚。</w:t>
      </w:r>
    </w:p>
    <w:p>
      <w:pPr>
        <w:spacing w:line="520" w:lineRule="exact"/>
        <w:ind w:firstLine="640"/>
        <w:jc w:val="left"/>
        <w:rPr>
          <w:rFonts w:ascii="楷体_GB2312" w:eastAsia="楷体_GB2312"/>
          <w:sz w:val="32"/>
          <w:szCs w:val="32"/>
        </w:rPr>
      </w:pPr>
      <w:r>
        <w:rPr>
          <w:rFonts w:ascii="楷体_GB2312" w:eastAsia="楷体_GB2312"/>
          <w:sz w:val="32"/>
          <w:szCs w:val="32"/>
        </w:rPr>
        <w:t>（十）关于实施时间</w:t>
      </w:r>
    </w:p>
    <w:p>
      <w:pPr>
        <w:spacing w:line="520" w:lineRule="exact"/>
        <w:ind w:firstLine="640" w:firstLineChars="200"/>
        <w:jc w:val="left"/>
        <w:rPr>
          <w:rFonts w:hint="eastAsia" w:eastAsia="仿宋_GB2312"/>
          <w:sz w:val="32"/>
          <w:szCs w:val="32"/>
        </w:rPr>
      </w:pPr>
      <w:r>
        <w:rPr>
          <w:rFonts w:eastAsia="仿宋_GB2312"/>
          <w:sz w:val="32"/>
          <w:szCs w:val="32"/>
        </w:rPr>
        <w:t>明确本《规定》自发布之日实施，期限</w:t>
      </w:r>
      <w:r>
        <w:rPr>
          <w:rFonts w:hint="eastAsia" w:eastAsia="仿宋_GB2312"/>
          <w:sz w:val="32"/>
          <w:szCs w:val="32"/>
          <w:lang w:val="en-US" w:eastAsia="zh-CN"/>
        </w:rPr>
        <w:t>为</w:t>
      </w:r>
      <w:r>
        <w:rPr>
          <w:rFonts w:eastAsia="仿宋_GB2312"/>
          <w:sz w:val="32"/>
          <w:szCs w:val="32"/>
        </w:rPr>
        <w:t>五年。2016</w:t>
      </w:r>
      <w:r>
        <w:rPr>
          <w:rFonts w:hint="eastAsia" w:eastAsia="仿宋_GB2312"/>
          <w:sz w:val="32"/>
          <w:szCs w:val="32"/>
        </w:rPr>
        <w:t>年</w:t>
      </w:r>
      <w:r>
        <w:rPr>
          <w:rFonts w:eastAsia="仿宋_GB2312"/>
          <w:sz w:val="32"/>
          <w:szCs w:val="32"/>
        </w:rPr>
        <w:t>6</w:t>
      </w:r>
      <w:r>
        <w:rPr>
          <w:rFonts w:hint="eastAsia" w:eastAsia="仿宋_GB2312"/>
          <w:sz w:val="32"/>
          <w:szCs w:val="32"/>
        </w:rPr>
        <w:t>月</w:t>
      </w:r>
      <w:r>
        <w:rPr>
          <w:rFonts w:eastAsia="仿宋_GB2312"/>
          <w:sz w:val="32"/>
          <w:szCs w:val="32"/>
        </w:rPr>
        <w:t>1</w:t>
      </w:r>
      <w:r>
        <w:rPr>
          <w:rFonts w:hint="eastAsia" w:eastAsia="仿宋_GB2312"/>
          <w:sz w:val="32"/>
          <w:szCs w:val="32"/>
        </w:rPr>
        <w:t>日</w:t>
      </w:r>
      <w:r>
        <w:rPr>
          <w:rFonts w:eastAsia="仿宋_GB2312"/>
          <w:sz w:val="32"/>
          <w:szCs w:val="32"/>
        </w:rPr>
        <w:t>由原江苏省海洋与渔业局公布的</w:t>
      </w:r>
      <w:r>
        <w:rPr>
          <w:rFonts w:hint="eastAsia" w:eastAsia="仿宋_GB2312"/>
          <w:sz w:val="32"/>
          <w:szCs w:val="32"/>
        </w:rPr>
        <w:t>《江苏省洪泽湖封湖禁渔通告》（苏海规〔2016〕1号）、</w:t>
      </w:r>
      <w:r>
        <w:rPr>
          <w:rFonts w:hint="eastAsia" w:eastAsia="仿宋_GB2312"/>
          <w:sz w:val="32"/>
          <w:szCs w:val="32"/>
          <w:lang w:val="en-US" w:eastAsia="zh-CN"/>
        </w:rPr>
        <w:t>2019年1月30日由江苏省农业农村厅印发的《</w:t>
      </w:r>
      <w:r>
        <w:rPr>
          <w:rFonts w:hint="eastAsia" w:eastAsia="仿宋_GB2312"/>
          <w:sz w:val="32"/>
          <w:szCs w:val="32"/>
        </w:rPr>
        <w:t>关于同意2019年洪泽湖实施封湖禁渔有关事宜的批复</w:t>
      </w:r>
      <w:r>
        <w:rPr>
          <w:rFonts w:hint="eastAsia" w:eastAsia="仿宋_GB2312"/>
          <w:sz w:val="32"/>
          <w:szCs w:val="32"/>
          <w:lang w:val="en-US" w:eastAsia="zh-CN"/>
        </w:rPr>
        <w:t>》（</w:t>
      </w:r>
      <w:r>
        <w:rPr>
          <w:rFonts w:hint="eastAsia" w:eastAsia="仿宋_GB2312"/>
          <w:sz w:val="32"/>
          <w:szCs w:val="32"/>
        </w:rPr>
        <w:t>苏农渔〔2019〕4号</w:t>
      </w:r>
      <w:r>
        <w:rPr>
          <w:rFonts w:hint="eastAsia" w:eastAsia="仿宋_GB2312"/>
          <w:sz w:val="32"/>
          <w:szCs w:val="32"/>
          <w:lang w:val="en-US" w:eastAsia="zh-CN"/>
        </w:rPr>
        <w:t>）</w:t>
      </w:r>
      <w:r>
        <w:rPr>
          <w:rFonts w:hint="eastAsia" w:eastAsia="仿宋_GB2312"/>
          <w:sz w:val="32"/>
          <w:szCs w:val="32"/>
        </w:rPr>
        <w:t>同时废止。</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Luxi Sans">
    <w:altName w:val="Segoe Print"/>
    <w:panose1 w:val="00000000000000000000"/>
    <w:charset w:val="00"/>
    <w:family w:val="auto"/>
    <w:pitch w:val="default"/>
    <w:sig w:usb0="00000000" w:usb1="00000000" w:usb2="00000000" w:usb3="00000000" w:csb0="0000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463550" cy="204470"/>
              <wp:effectExtent l="0" t="0" r="0" b="0"/>
              <wp:wrapNone/>
              <wp:docPr id="1" name="文本框 1"/>
              <wp:cNvGraphicFramePr/>
              <a:graphic xmlns:a="http://schemas.openxmlformats.org/drawingml/2006/main">
                <a:graphicData uri="http://schemas.microsoft.com/office/word/2010/wordprocessingShape">
                  <wps:wsp>
                    <wps:cNvSpPr/>
                    <wps:spPr>
                      <a:xfrm>
                        <a:off x="0" y="0"/>
                        <a:ext cx="463550" cy="204647"/>
                      </a:xfrm>
                      <a:prstGeom prst="rect">
                        <a:avLst/>
                      </a:prstGeom>
                      <a:noFill/>
                      <a:ln w="9525" cap="flat" cmpd="sng">
                        <a:noFill/>
                        <a:prstDash val="solid"/>
                        <a:round/>
                      </a:ln>
                    </wps:spPr>
                    <wps:txbx>
                      <w:txbxContent>
                        <w:p>
                          <w:pPr>
                            <w:pStyle w:val="6"/>
                            <w:jc w:val="center"/>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r>
                            <w:t>—</w:t>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16.1pt;width:36.5pt;mso-position-horizontal:center;mso-position-horizontal-relative:margin;mso-wrap-style:none;z-index:251659264;mso-width-relative:page;mso-height-relative:page;" filled="f" stroked="f" coordsize="21600,21600" o:gfxdata="UEsDBAoAAAAAAIdO4kAAAAAAAAAAAAAAAAAEAAAAZHJzL1BLAwQUAAAACACHTuJAi+PQWdEAAAAD&#10;AQAADwAAAGRycy9kb3ducmV2LnhtbE2PzWrDMBCE74W+g9hCb40UB9rgWs6hEGhLLnHyAIq1/qHS&#10;ykhKnL59tr20l4Fhlplvq83VO3HBmMZAGpYLBQKpDXakXsPxsH1ag0jZkDUuEGr4xgSb+v6uMqUN&#10;M+3x0uRecAml0mgYcp5KKVM7oDdpESYkzroQvclsYy9tNDOXeycLpZ6lNyPxwmAmfBuw/WrOXoM8&#10;NNt53biowmfR7dzH+77DoPXjw1K9gsh4zX/H8IPP6FAz0ymcySbhNPAj+Vc5e1mxO2lYFQXIupL/&#10;2esbUEsDBBQAAAAIAIdO4kADXXFdAgIAAPQDAAAOAAAAZHJzL2Uyb0RvYy54bWytU8uO0zAU3SPx&#10;D5b3NGlpC0RNR4hqEBKCkQY+wHWcxJJf8nWalA+AP2DFhj3f1e/g2knb0bCZBZvk+HXuPcfHm5tB&#10;K3IQHqQ1JZ3PckqE4baSpinp1y+3L15TAoGZiilrREmPAujN9vmzTe8KsbCtVZXwBEkMFL0raRuC&#10;K7IMeCs0g5l1wuBibb1mAYe+ySrPemTXKlvk+Trrra+ct1wA4OxuXKQTo38Koa1rycXO8k4LE0ZW&#10;LxQLKAla6YBuU7d1LXj4XNcgAlElRaUhfbEI4n38ZtsNKxrPXCv51AJ7SguPNGkmDRa9UO1YYKTz&#10;8h8qLbm3YOsw41Zno5DkCKqY54+8uW+ZE0kLWg3uYjr8P1r+6XDniawwCZQYpvHCTz9/nH79Of3+&#10;TubRnt5Bgbvu3Z2fRoAwah1qr+MfVZAhWXq8WCqGQDhOLtcvVys0m+PSIl+ul68iZ3Y97DyE98Jq&#10;EkFJPd5YMpIdPkIYt563xFrG3kqlcJ4VypC+pG9WixXSM0xijQlAqB2qAdMkmgf7I82OQUsODMMA&#10;VslqvH5vO1ONpZTB5qLiUWNEYdgPuBjh3lZHdAsfD3baWv+Nkh6jU1KDL4US9cHgzcSUnYE/g/0Z&#10;MMPxYEmx0RG+C2MaO+dl0yJvnvoG97YLqDVZcK09dYdhSCZOwY1pezhOu66Pdfs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i+PQWdEAAAADAQAADwAAAAAAAAABACAAAAAiAAAAZHJzL2Rvd25yZXYu&#10;eG1sUEsBAhQAFAAAAAgAh07iQANdcV0CAgAA9AMAAA4AAAAAAAAAAQAgAAAAIAEAAGRycy9lMm9E&#10;b2MueG1sUEsFBgAAAAAGAAYAWQEAAJQFAAAAAA==&#10;">
              <v:fill on="f" focussize="0,0"/>
              <v:stroke on="f" joinstyle="round"/>
              <v:imagedata o:title=""/>
              <o:lock v:ext="edit" aspectratio="f"/>
              <v:textbox inset="0mm,0mm,0mm,0mm" style="mso-fit-shape-to-text:t;">
                <w:txbxContent>
                  <w:p>
                    <w:pPr>
                      <w:pStyle w:val="6"/>
                      <w:jc w:val="center"/>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r>
                      <w:t>—</w:t>
                    </w:r>
                  </w:p>
                </w:txbxContent>
              </v:textbox>
            </v:rect>
          </w:pict>
        </mc:Fallback>
      </mc:AlternateContent>
    </w:r>
  </w:p>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MWU0YjJlMGU2NDIzZDI2Nzg1M2U3NzhmZTQzOWQwMTIifQ=="/>
  </w:docVars>
  <w:rsids>
    <w:rsidRoot w:val="00000000"/>
    <w:rsid w:val="120B0362"/>
    <w:rsid w:val="208A6731"/>
    <w:rsid w:val="247739F0"/>
    <w:rsid w:val="26965165"/>
    <w:rsid w:val="2CD31706"/>
    <w:rsid w:val="3D164790"/>
    <w:rsid w:val="41107BC1"/>
    <w:rsid w:val="44415AA1"/>
    <w:rsid w:val="51C4585C"/>
    <w:rsid w:val="5278409B"/>
    <w:rsid w:val="5D5B2D3C"/>
    <w:rsid w:val="6372766B"/>
    <w:rsid w:val="6A2D7FEB"/>
    <w:rsid w:val="6C8D4D71"/>
    <w:rsid w:val="74BE3BD3"/>
    <w:rsid w:val="7C3D4F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paragraph" w:styleId="5">
    <w:name w:val="heading 4"/>
    <w:basedOn w:val="1"/>
    <w:next w:val="1"/>
    <w:autoRedefine/>
    <w:qFormat/>
    <w:uiPriority w:val="0"/>
    <w:pPr>
      <w:keepNext/>
      <w:keepLines/>
      <w:widowControl w:val="0"/>
      <w:spacing w:before="280" w:after="290" w:line="377" w:lineRule="auto"/>
      <w:outlineLvl w:val="3"/>
    </w:pPr>
    <w:rPr>
      <w:rFonts w:ascii="Arial" w:hAnsi="Arial" w:eastAsia="黑体"/>
      <w:b/>
      <w:bCs/>
      <w:sz w:val="28"/>
      <w:szCs w:val="28"/>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footer"/>
    <w:basedOn w:val="1"/>
    <w:autoRedefine/>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0">
    <w:name w:val="NormalCharacter"/>
    <w:qFormat/>
    <w:uiPriority w:val="0"/>
    <w:rPr>
      <w:rFonts w:ascii="Calibri" w:hAnsi="Calibri" w:eastAsia="宋体"/>
    </w:rPr>
  </w:style>
  <w:style w:type="paragraph" w:customStyle="1" w:styleId="11">
    <w:name w:val="标题1"/>
    <w:basedOn w:val="1"/>
    <w:next w:val="1"/>
    <w:qFormat/>
    <w:uiPriority w:val="0"/>
    <w:pPr>
      <w:tabs>
        <w:tab w:val="left" w:pos="9193"/>
        <w:tab w:val="left" w:pos="9827"/>
      </w:tabs>
      <w:autoSpaceDE w:val="0"/>
      <w:autoSpaceDN w:val="0"/>
      <w:snapToGrid w:val="0"/>
      <w:spacing w:line="700" w:lineRule="atLeast"/>
      <w:jc w:val="center"/>
    </w:pPr>
    <w:rPr>
      <w:rFonts w:ascii="汉鼎简大宋" w:eastAsia="汉鼎简大宋"/>
      <w:snapToGrid w:val="0"/>
      <w:kern w:val="0"/>
      <w:sz w:val="44"/>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4</Pages>
  <Words>1757</Words>
  <Characters>1816</Characters>
  <Lines>95</Lines>
  <Paragraphs>39</Paragraphs>
  <TotalTime>3</TotalTime>
  <ScaleCrop>false</ScaleCrop>
  <LinksUpToDate>false</LinksUpToDate>
  <CharactersWithSpaces>1829</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2024-04-19T23:17:00Z</dcterms:created>
  <dc:creator>sw</dc:creator>
  <cp:lastModifiedBy>梦回唐朝</cp:lastModifiedBy>
  <dcterms:modified xsi:type="dcterms:W3CDTF">2024-05-27T00:49:46Z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767B010C6826436A9F1917275A700503_13</vt:lpwstr>
  </property>
</Properties>
</file>