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CA46C2">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rPr>
      </w:pPr>
      <w:bookmarkStart w:id="0" w:name="_GoBack"/>
      <w:bookmarkEnd w:id="0"/>
      <w:r>
        <w:rPr>
          <w:rFonts w:hint="eastAsia" w:ascii="方正小标宋简体" w:hAnsi="方正小标宋简体" w:eastAsia="方正小标宋简体" w:cs="方正小标宋简体"/>
          <w:sz w:val="44"/>
          <w:szCs w:val="44"/>
        </w:rPr>
        <w:t>农机购置补贴机具核验工作要点</w:t>
      </w:r>
    </w:p>
    <w:p w14:paraId="6CB5B58D">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方正仿宋_GBK" w:cs="Times New Roman"/>
          <w:sz w:val="32"/>
          <w:szCs w:val="32"/>
        </w:rPr>
      </w:pPr>
    </w:p>
    <w:p w14:paraId="4B794F6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强农机购置补贴机具核验管理，是确保补贴资金安全和政策效益充分发挥的关键举措。为指导各地做好农机购置补贴机具核验工作，规范核验行为，防范管理风险，提高政策实施工作效率，进一步便民利民，根据农业农村部、财政部及我省农机购置补贴政策实施相关规定，制定工作要点如下。</w:t>
      </w:r>
    </w:p>
    <w:p w14:paraId="5A253DC6">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一、核验内容</w:t>
      </w:r>
    </w:p>
    <w:p w14:paraId="2E53BA3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补贴机具核验是指县级及以下农业农村主管部门对从事农业生产的个人和农业生产经营组织（以下简称“购机者”）申报农机购置补贴时提供的相关资料进行形式审核、对机具进行核查的工作。核验的主要内容包括：</w:t>
      </w:r>
    </w:p>
    <w:p w14:paraId="35A33A8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（一）购机者身份信息。个人身份证件或农业生产经营组织工商营业执照（统一社会信用代码）及其法定代表人身份证件等信息。</w:t>
      </w:r>
    </w:p>
    <w:p w14:paraId="379F963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（二）购买信息。购买补贴机具税控发票等信息。</w:t>
      </w:r>
    </w:p>
    <w:p w14:paraId="327F90F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（三）机具信息。机具实物上的固定铭牌信息、农机购置补贴辅助管理系统所对应机具的信息、牌证管理机具的行驶证信息等。</w:t>
      </w:r>
    </w:p>
    <w:p w14:paraId="5218040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（四）其他信息。购机者银行卡（折）账号、开户名等信息，以及政策实施要求提供的其他必要信息。</w:t>
      </w:r>
    </w:p>
    <w:p w14:paraId="7ED07DE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上述信息的真实性、完整性和有效性由购机者、产销企业和农机安全监理机构分别负责，并承担相应的法律责任。   </w:t>
      </w:r>
    </w:p>
    <w:p w14:paraId="4A30A5E6">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二、核验程序及要求</w:t>
      </w:r>
    </w:p>
    <w:p w14:paraId="0E2A28C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（一）受理申请。对购机者自主提出的补贴申请，主管部门应按规定及时受理。鼓励通过手机APP、“一站式”服务窗口等便捷高效的方式受理申请。</w:t>
      </w:r>
    </w:p>
    <w:p w14:paraId="2F3E250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资料核验。一是购机者及其身份、购机税控发票等资料。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二是银行卡（折）等资料。重点核验购机者填写的银行卡（折）账号、开户名等信息与其携带的银行卡（折）所显示的账号、身份证件所显示的购机者姓名、工商营业执照所显示的农业生产经营组织名称一致性情况。三是购机价格真实性承诺。提示购机者确认购机税控发票上的购机金额与其实际全部支付给经销企业的资金要一致，以及隐瞒不报、提供虚假信息需承担的违规责任，提示购机者对购机价格的真实性签字确认。四是县级政策实施工作方案要求提供的其他资料。</w:t>
      </w:r>
    </w:p>
    <w:p w14:paraId="76F0607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未通过核验的，应将所发现的问题一次性告知购机者，并说明完善方法。</w:t>
      </w:r>
    </w:p>
    <w:p w14:paraId="592C250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机具核验。重点核验购机税控发票所显示的机具名称、生产企业、型号、发动机号（不带动力的可不核验）、出厂编号与所购实物机具铭牌显示信息的一致性，所购实物机具铭牌显示信息与农机购置补贴辅助管理系统内对应的机具信息要一致，购机税控发票所显示的经销企业要与农机购置补贴辅助管理系统内对应的经销信息一致。对牌证管理机具，免于现场实物核验，但需核验购机者携带的《拖拉机和联合收割机行驶证》信息与农机安全监理系统推送给辅助管理系统的牌证信息、机具信息的一致性，购机税控发票所显示的经销企业要与农机购置补贴辅助管理系统内对应的经销信息一致。</w:t>
      </w:r>
    </w:p>
    <w:p w14:paraId="587938A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种植业、畜牧业、渔业、农产品初加工等有关方面共同参加的集体会商。加强对单人多台套、短期内大批量、同人连年购置同类机具、区域适应性差的机具购置等异常情形的核验。</w:t>
      </w:r>
    </w:p>
    <w:p w14:paraId="1BE3CA9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未通过核验的，应将所发现的问题一次性告知购机者，并说明完善方法。</w:t>
      </w:r>
    </w:p>
    <w:p w14:paraId="5A3C897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（四）复核登记。对资料核验、机具核验的程序、方式和签章的规范性进行集体复核，可与集体会商同步进行，通过后登记立册。</w:t>
      </w:r>
    </w:p>
    <w:p w14:paraId="224F159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（五）公示报送。对通过复核的补贴申请信息进行为期不少于30天的公示，公示无异议后报送同级财政部门。</w:t>
      </w:r>
    </w:p>
    <w:p w14:paraId="613B7A8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（六）资料处理。对财政部门未提出疑义的补贴申请，将其核验资料留存备用备查，留存期限不少于5年。</w:t>
      </w:r>
    </w:p>
    <w:p w14:paraId="2DB3063B">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三、监督管理</w:t>
      </w:r>
    </w:p>
    <w:p w14:paraId="4234847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加强核验人员队伍建设。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554E905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推行购机承诺践诺。加强购机者补贴申请行为的自我约束和信用管理，实行补贴申请资料真实性、完整性和有效性的自主承诺，引导其规范参与补贴政策实施，主动报告所发现的问题，共同维护政策实施良好环境。</w:t>
      </w:r>
    </w:p>
    <w:p w14:paraId="39DA043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全面排查违规线索。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县级农机购置补贴领导小组研究决策。</w:t>
      </w:r>
    </w:p>
    <w:p w14:paraId="6F053EB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严格监督管理。健全内部控制制度，以机具核验流程为主线，逐项工作、逐个环节查找风险点，制定防控措施。鼓励市级及以下农业农村、财政部门探索开展补贴机具第三方独立抽查核验和信息化技术核验。</w:t>
      </w:r>
    </w:p>
    <w:p w14:paraId="540D624B">
      <w:pPr>
        <w:ind w:firstLine="640" w:firstLineChars="200"/>
        <w:rPr>
          <w:rFonts w:hint="eastAsia" w:ascii="仿宋_GB2312" w:hAnsi="仿宋_GB2312" w:eastAsia="仿宋_GB2312" w:cs="仿宋_GB2312"/>
        </w:rPr>
      </w:pPr>
      <w:r>
        <w:rPr>
          <w:rFonts w:hint="eastAsia" w:ascii="仿宋_GB2312" w:hAnsi="仿宋_GB2312" w:eastAsia="仿宋_GB2312" w:cs="仿宋_GB2312"/>
          <w:sz w:val="32"/>
          <w:szCs w:val="32"/>
        </w:rPr>
        <w:t>应参照本要点制定具体的县级工作规范，经县级农机购置补贴领导小组审核同意，报市农业农村局备案后公布实施。</w:t>
      </w:r>
    </w:p>
    <w:sectPr>
      <w:footerReference r:id="rId5" w:type="default"/>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9D6EFB">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1E251E">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D1E251E">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4CC1FAB"/>
    <w:rsid w:val="6D442A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line="560" w:lineRule="exact"/>
      <w:jc w:val="both"/>
    </w:pPr>
    <w:rPr>
      <w:rFonts w:ascii="Times New Roman" w:hAnsi="Times New Roman" w:eastAsia="方正仿宋_GBK" w:cstheme="minorBidi"/>
      <w:kern w:val="2"/>
      <w:sz w:val="32"/>
      <w:szCs w:val="22"/>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2138</Words>
  <Characters>2141</Characters>
  <Lines>0</Lines>
  <Paragraphs>0</Paragraphs>
  <TotalTime>2</TotalTime>
  <ScaleCrop>false</ScaleCrop>
  <LinksUpToDate>false</LinksUpToDate>
  <CharactersWithSpaces>2144</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2025-06-03T02:05:00Z</dcterms:created>
  <dc:creator>admin</dc:creator>
  <cp:lastModifiedBy>风动？云动！</cp:lastModifiedBy>
  <dcterms:modified xsi:type="dcterms:W3CDTF">2025-06-27T00:39:47Z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KSOTemplateDocerSaveRecord">
    <vt:lpwstr>eyJoZGlkIjoiMzU3YTRlZGI1NWM1NjQ4YWI1NGE3M2I5ZmNlZTNmZGEiLCJ1c2VySWQiOiIzMTEyODk3NzQifQ==</vt:lpwstr>
  </property>
  <property fmtid="{D5CDD505-2E9C-101B-9397-08002B2CF9AE}" pid="4" name="ICV">
    <vt:lpwstr>D56F993EF9FE4143A75F58F93E7547CC_13</vt:lpwstr>
  </property>
</Properties>
</file>