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8A20FF">
      <w:pPr>
        <w:widowControl/>
        <w:snapToGrid w:val="0"/>
        <w:spacing w:line="560" w:lineRule="exact"/>
        <w:jc w:val="center"/>
        <w:rPr>
          <w:rFonts w:ascii="仿宋_GB2312" w:eastAsia="仿宋_GB2312" w:cs="仿宋_GB2312"/>
          <w:b/>
          <w:kern w:val="0"/>
          <w:sz w:val="36"/>
          <w:szCs w:val="36"/>
        </w:rPr>
      </w:pPr>
      <w:r>
        <w:rPr>
          <w:rFonts w:hint="eastAsia" w:ascii="仿宋_GB2312" w:eastAsia="仿宋_GB2312" w:cs="仿宋_GB2312"/>
          <w:b/>
          <w:kern w:val="0"/>
          <w:sz w:val="36"/>
          <w:szCs w:val="36"/>
        </w:rPr>
        <w:t>202</w:t>
      </w:r>
      <w:r>
        <w:rPr>
          <w:rFonts w:hint="eastAsia" w:ascii="仿宋_GB2312" w:eastAsia="仿宋_GB2312" w:cs="仿宋_GB2312"/>
          <w:b/>
          <w:kern w:val="0"/>
          <w:sz w:val="36"/>
          <w:szCs w:val="36"/>
          <w:lang w:val="en-US" w:eastAsia="zh-CN"/>
        </w:rPr>
        <w:t>5</w:t>
      </w:r>
      <w:r>
        <w:rPr>
          <w:rFonts w:hint="eastAsia" w:ascii="仿宋_GB2312" w:eastAsia="仿宋_GB2312" w:cs="仿宋_GB2312"/>
          <w:b/>
          <w:kern w:val="0"/>
          <w:sz w:val="36"/>
          <w:szCs w:val="36"/>
        </w:rPr>
        <w:t>年</w:t>
      </w:r>
      <w:r>
        <w:rPr>
          <w:rFonts w:hint="eastAsia" w:ascii="仿宋_GB2312" w:eastAsia="仿宋_GB2312" w:cs="仿宋_GB2312"/>
          <w:b/>
          <w:kern w:val="0"/>
          <w:sz w:val="36"/>
          <w:szCs w:val="36"/>
          <w:lang w:val="en-US" w:eastAsia="zh-CN"/>
        </w:rPr>
        <w:t>靖江</w:t>
      </w:r>
      <w:r>
        <w:rPr>
          <w:rFonts w:hint="eastAsia" w:ascii="仿宋_GB2312" w:eastAsia="仿宋_GB2312" w:cs="仿宋_GB2312"/>
          <w:b/>
          <w:kern w:val="0"/>
          <w:sz w:val="36"/>
          <w:szCs w:val="36"/>
        </w:rPr>
        <w:t>市农机购置补贴机具核验工作要点</w:t>
      </w:r>
    </w:p>
    <w:p w14:paraId="3EA25853">
      <w:pPr>
        <w:widowControl/>
        <w:snapToGrid w:val="0"/>
        <w:spacing w:line="560" w:lineRule="exact"/>
        <w:rPr>
          <w:rFonts w:ascii="宋体" w:cs="Times New Roman"/>
          <w:kern w:val="0"/>
          <w:sz w:val="28"/>
          <w:szCs w:val="28"/>
        </w:rPr>
      </w:pPr>
      <w:r>
        <w:rPr>
          <w:rFonts w:hint="eastAsia" w:ascii="仿宋" w:hAnsi="仿宋" w:eastAsia="仿宋" w:cs="仿宋"/>
          <w:kern w:val="0"/>
          <w:sz w:val="32"/>
          <w:szCs w:val="32"/>
        </w:rPr>
        <w:t>　</w:t>
      </w:r>
      <w:r>
        <w:rPr>
          <w:rFonts w:hint="eastAsia" w:ascii="宋体" w:hAnsi="宋体" w:cs="宋体"/>
          <w:kern w:val="0"/>
          <w:sz w:val="32"/>
          <w:szCs w:val="32"/>
        </w:rPr>
        <w:t>　</w:t>
      </w:r>
    </w:p>
    <w:p w14:paraId="7A3301E0">
      <w:pPr>
        <w:widowControl/>
        <w:snapToGrid w:val="0"/>
        <w:spacing w:line="560" w:lineRule="exact"/>
        <w:ind w:firstLine="640"/>
        <w:jc w:val="center"/>
        <w:rPr>
          <w:rFonts w:hint="eastAsia" w:ascii="仿宋_GB2312" w:eastAsia="仿宋_GB2312" w:cs="仿宋_GB2312"/>
          <w:kern w:val="0"/>
          <w:sz w:val="32"/>
          <w:szCs w:val="32"/>
        </w:rPr>
      </w:pPr>
      <w:r>
        <w:rPr>
          <w:rFonts w:hint="eastAsia" w:ascii="仿宋_GB2312" w:eastAsia="仿宋_GB2312" w:cs="仿宋_GB2312"/>
          <w:kern w:val="0"/>
          <w:sz w:val="32"/>
          <w:szCs w:val="32"/>
        </w:rPr>
        <w:t>加强农机购置补贴机具核验管理，是确保补贴资金安全和政策效益充分发挥的关键举措。为指导各地做好农机购置补贴机具核验工作，规范核验行为，防范管理风险，提高办补效率，进一步便民利民，根据农业农村部、财政部及江苏省农机购置</w:t>
      </w:r>
    </w:p>
    <w:p w14:paraId="3D7380E2">
      <w:pPr>
        <w:widowControl/>
        <w:snapToGrid w:val="0"/>
        <w:spacing w:line="560" w:lineRule="exact"/>
        <w:jc w:val="both"/>
        <w:rPr>
          <w:rFonts w:ascii="仿宋_GB2312" w:eastAsia="仿宋_GB2312" w:cs="Times New Roman"/>
          <w:kern w:val="0"/>
          <w:sz w:val="32"/>
          <w:szCs w:val="32"/>
        </w:rPr>
      </w:pPr>
      <w:r>
        <w:rPr>
          <w:rFonts w:hint="eastAsia" w:ascii="仿宋_GB2312" w:eastAsia="仿宋_GB2312" w:cs="仿宋_GB2312"/>
          <w:kern w:val="0"/>
          <w:sz w:val="32"/>
          <w:szCs w:val="32"/>
        </w:rPr>
        <w:t>补贴政策实施相关规定，制定</w:t>
      </w:r>
      <w:r>
        <w:rPr>
          <w:rFonts w:hint="eastAsia" w:ascii="仿宋_GB2312" w:eastAsia="仿宋_GB2312" w:cs="仿宋_GB2312"/>
          <w:kern w:val="0"/>
          <w:sz w:val="32"/>
          <w:szCs w:val="32"/>
          <w:lang w:val="en-US" w:eastAsia="zh-CN"/>
        </w:rPr>
        <w:t>靖江</w:t>
      </w:r>
      <w:r>
        <w:rPr>
          <w:rFonts w:hint="eastAsia" w:ascii="仿宋_GB2312" w:eastAsia="仿宋_GB2312" w:cs="仿宋_GB2312"/>
          <w:kern w:val="0"/>
          <w:sz w:val="32"/>
          <w:szCs w:val="32"/>
        </w:rPr>
        <w:t>市农机购置补贴机具核验工作要点如下：</w:t>
      </w:r>
    </w:p>
    <w:p w14:paraId="365AF2F2">
      <w:pPr>
        <w:widowControl/>
        <w:snapToGrid w:val="0"/>
        <w:spacing w:line="560" w:lineRule="exact"/>
        <w:ind w:firstLine="632" w:firstLineChars="200"/>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一、核验内容</w:t>
      </w:r>
    </w:p>
    <w:p w14:paraId="42BD6DF7">
      <w:pPr>
        <w:widowControl/>
        <w:snapToGrid w:val="0"/>
        <w:spacing w:line="560" w:lineRule="exact"/>
        <w:ind w:firstLine="632"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补贴机具核验是指县、镇两级农业农村部门对从事农业生产的农民和农业生产经营组织（以下简称“购机者”）申报农机购置补贴时提供的相关资料进行形式审核、对机具进行核查的工作。核验的主要内容包括：</w:t>
      </w:r>
    </w:p>
    <w:p w14:paraId="2475C16D">
      <w:pPr>
        <w:widowControl/>
        <w:snapToGrid w:val="0"/>
        <w:spacing w:line="560" w:lineRule="exact"/>
        <w:ind w:firstLine="632"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b/>
          <w:bCs/>
          <w:kern w:val="0"/>
          <w:sz w:val="32"/>
          <w:szCs w:val="32"/>
        </w:rPr>
        <w:t>（一）购机者身份信息。</w:t>
      </w:r>
      <w:r>
        <w:rPr>
          <w:rFonts w:hint="eastAsia" w:ascii="仿宋_GB2312" w:hAnsi="仿宋_GB2312" w:eastAsia="仿宋_GB2312" w:cs="仿宋_GB2312"/>
          <w:kern w:val="0"/>
          <w:sz w:val="32"/>
          <w:szCs w:val="32"/>
        </w:rPr>
        <w:t>个人身份证件或农业生产经营组织工商营业执照（统一社会信用代码）及其法定代表人身份证件等信息；</w:t>
      </w:r>
    </w:p>
    <w:p w14:paraId="426658A0">
      <w:pPr>
        <w:widowControl/>
        <w:snapToGrid w:val="0"/>
        <w:spacing w:line="560" w:lineRule="exact"/>
        <w:ind w:firstLine="632"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b/>
          <w:bCs/>
          <w:kern w:val="0"/>
          <w:sz w:val="32"/>
          <w:szCs w:val="32"/>
        </w:rPr>
        <w:t>（二）购买信息。</w:t>
      </w:r>
      <w:r>
        <w:rPr>
          <w:rFonts w:hint="eastAsia" w:ascii="仿宋_GB2312" w:hAnsi="仿宋_GB2312" w:eastAsia="仿宋_GB2312" w:cs="仿宋_GB2312"/>
          <w:kern w:val="0"/>
          <w:sz w:val="32"/>
          <w:szCs w:val="32"/>
        </w:rPr>
        <w:t>购买补贴机具税控发票等信息；</w:t>
      </w:r>
    </w:p>
    <w:p w14:paraId="6CA805D1">
      <w:pPr>
        <w:widowControl/>
        <w:snapToGrid w:val="0"/>
        <w:spacing w:line="560" w:lineRule="exact"/>
        <w:ind w:firstLine="632"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b/>
          <w:bCs/>
          <w:kern w:val="0"/>
          <w:sz w:val="32"/>
          <w:szCs w:val="32"/>
        </w:rPr>
        <w:t>（三）机具信息。</w:t>
      </w:r>
      <w:r>
        <w:rPr>
          <w:rFonts w:hint="eastAsia" w:ascii="仿宋_GB2312" w:hAnsi="仿宋_GB2312" w:eastAsia="仿宋_GB2312" w:cs="仿宋_GB2312"/>
          <w:kern w:val="0"/>
          <w:sz w:val="32"/>
          <w:szCs w:val="32"/>
        </w:rPr>
        <w:t>机具实物上的固定铭牌信息、农机购置补贴申请办理服务系统所对应机具的信息、牌证管理机具的行驶证信息等；</w:t>
      </w:r>
    </w:p>
    <w:p w14:paraId="4B8562D0">
      <w:pPr>
        <w:widowControl/>
        <w:snapToGrid w:val="0"/>
        <w:spacing w:line="560" w:lineRule="exact"/>
        <w:ind w:firstLine="632"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b/>
          <w:bCs/>
          <w:kern w:val="0"/>
          <w:sz w:val="32"/>
          <w:szCs w:val="32"/>
        </w:rPr>
        <w:t>（四）其他信息。</w:t>
      </w:r>
      <w:r>
        <w:rPr>
          <w:rFonts w:hint="eastAsia" w:ascii="仿宋_GB2312" w:hAnsi="仿宋_GB2312" w:eastAsia="仿宋_GB2312" w:cs="仿宋_GB2312"/>
          <w:kern w:val="0"/>
          <w:sz w:val="32"/>
          <w:szCs w:val="32"/>
        </w:rPr>
        <w:t>购机者银行卡（折）账号、开户名等信息，以及政策实施要求提供的其他必要信息。</w:t>
      </w:r>
    </w:p>
    <w:p w14:paraId="3FF66194">
      <w:pPr>
        <w:widowControl/>
        <w:snapToGrid w:val="0"/>
        <w:spacing w:line="560" w:lineRule="exact"/>
        <w:ind w:firstLine="632"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上述信息的真实性、完整性和有效性由购机者、产销企业和农机安全监理机构分别负责，并承担相应的法律责任。   </w:t>
      </w:r>
    </w:p>
    <w:p w14:paraId="5194BD00">
      <w:pPr>
        <w:widowControl/>
        <w:snapToGrid w:val="0"/>
        <w:spacing w:line="560" w:lineRule="exact"/>
        <w:ind w:firstLine="632"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b/>
          <w:bCs/>
          <w:kern w:val="0"/>
          <w:sz w:val="32"/>
          <w:szCs w:val="32"/>
        </w:rPr>
        <w:t>二、核验程序及要求</w:t>
      </w:r>
    </w:p>
    <w:p w14:paraId="7BF2B35F">
      <w:pPr>
        <w:widowControl/>
        <w:snapToGrid w:val="0"/>
        <w:spacing w:line="560" w:lineRule="exact"/>
        <w:ind w:firstLine="632"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b/>
          <w:bCs/>
          <w:kern w:val="0"/>
          <w:sz w:val="32"/>
          <w:szCs w:val="32"/>
        </w:rPr>
        <w:t>（一）受理申请。</w:t>
      </w:r>
      <w:r>
        <w:rPr>
          <w:rFonts w:hint="eastAsia" w:ascii="仿宋_GB2312" w:hAnsi="仿宋_GB2312" w:eastAsia="仿宋_GB2312" w:cs="仿宋_GB2312"/>
          <w:kern w:val="0"/>
          <w:sz w:val="32"/>
          <w:szCs w:val="32"/>
        </w:rPr>
        <w:t>对购机者自主提出的补贴申请，主管部门应按规定及时受理。推广使用手机APP、“一站式”服务窗口等便捷高效的方式受理申请。</w:t>
      </w:r>
    </w:p>
    <w:p w14:paraId="6EE29945">
      <w:pPr>
        <w:pStyle w:val="21"/>
        <w:snapToGrid w:val="0"/>
        <w:spacing w:line="560" w:lineRule="exact"/>
        <w:ind w:firstLine="0" w:firstLineChars="0"/>
        <w:rPr>
          <w:rFonts w:hint="eastAsia" w:ascii="仿宋_GB2312" w:hAnsi="仿宋_GB2312" w:eastAsia="仿宋_GB2312" w:cs="仿宋_GB2312"/>
          <w:b/>
          <w:bCs/>
          <w:kern w:val="0"/>
          <w:sz w:val="32"/>
          <w:szCs w:val="32"/>
        </w:rPr>
      </w:pPr>
      <w:r>
        <w:rPr>
          <w:rFonts w:hint="eastAsia" w:ascii="仿宋_GB2312" w:hAnsi="仿宋_GB2312" w:eastAsia="仿宋_GB2312" w:cs="仿宋_GB2312"/>
          <w:kern w:val="0"/>
          <w:sz w:val="32"/>
          <w:szCs w:val="32"/>
        </w:rPr>
        <w:t xml:space="preserve">    </w:t>
      </w:r>
      <w:r>
        <w:rPr>
          <w:rFonts w:hint="eastAsia" w:ascii="仿宋_GB2312" w:hAnsi="仿宋_GB2312" w:eastAsia="仿宋_GB2312" w:cs="仿宋_GB2312"/>
          <w:b/>
          <w:bCs/>
          <w:kern w:val="0"/>
          <w:sz w:val="32"/>
          <w:szCs w:val="32"/>
        </w:rPr>
        <w:t>（二）资料核验。一是购机者及其身份、购机税控发票等资料。</w:t>
      </w:r>
      <w:r>
        <w:rPr>
          <w:rFonts w:hint="eastAsia" w:ascii="仿宋_GB2312" w:hAnsi="仿宋_GB2312" w:eastAsia="仿宋_GB2312" w:cs="仿宋_GB2312"/>
          <w:kern w:val="0"/>
          <w:sz w:val="32"/>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hint="eastAsia" w:ascii="仿宋_GB2312" w:hAnsi="仿宋_GB2312" w:eastAsia="仿宋_GB2312" w:cs="仿宋_GB2312"/>
          <w:b/>
          <w:bCs/>
          <w:kern w:val="0"/>
          <w:sz w:val="32"/>
          <w:szCs w:val="32"/>
        </w:rPr>
        <w:t>二是银行卡（折）等资料。</w:t>
      </w:r>
      <w:r>
        <w:rPr>
          <w:rFonts w:hint="eastAsia" w:ascii="仿宋_GB2312" w:hAnsi="仿宋_GB2312" w:eastAsia="仿宋_GB2312" w:cs="仿宋_GB2312"/>
          <w:kern w:val="0"/>
          <w:sz w:val="32"/>
          <w:szCs w:val="32"/>
        </w:rPr>
        <w:t>重点核验购机者填写的银行卡（折）账号、开户名等信息与其携带的银行卡（折）所显示的账号、身份证件所显示的购机者姓名、工商营业执照所显示的农业生产经营组织名称是否一致。</w:t>
      </w:r>
      <w:r>
        <w:rPr>
          <w:rFonts w:hint="eastAsia" w:ascii="仿宋_GB2312" w:hAnsi="仿宋_GB2312" w:eastAsia="仿宋_GB2312" w:cs="仿宋_GB2312"/>
          <w:b/>
          <w:bCs/>
          <w:kern w:val="0"/>
          <w:sz w:val="32"/>
          <w:szCs w:val="32"/>
        </w:rPr>
        <w:t>三是购机价格真实性承诺。</w:t>
      </w:r>
      <w:r>
        <w:rPr>
          <w:rFonts w:hint="eastAsia" w:ascii="仿宋_GB2312" w:hAnsi="仿宋_GB2312" w:eastAsia="仿宋_GB2312" w:cs="仿宋_GB2312"/>
          <w:kern w:val="0"/>
          <w:sz w:val="32"/>
          <w:szCs w:val="32"/>
        </w:rPr>
        <w:t>提示购机者确认购机税控发票上的购机金额与其实际全部支付给经销企业的资金是否一致，以及隐瞒不报、提供虚假信息需承担的违规责任，提示购机者对购机价格的真实性签字确认。</w:t>
      </w:r>
      <w:r>
        <w:rPr>
          <w:rFonts w:hint="eastAsia" w:ascii="仿宋_GB2312" w:hAnsi="仿宋_GB2312" w:eastAsia="仿宋_GB2312" w:cs="仿宋_GB2312"/>
          <w:b/>
          <w:bCs/>
          <w:kern w:val="0"/>
          <w:sz w:val="32"/>
          <w:szCs w:val="32"/>
        </w:rPr>
        <w:t>四是政策实施要求提供的其他资料。</w:t>
      </w:r>
    </w:p>
    <w:p w14:paraId="2F45AD2A">
      <w:pPr>
        <w:pStyle w:val="21"/>
        <w:snapToGrid w:val="0"/>
        <w:spacing w:line="560" w:lineRule="exact"/>
        <w:ind w:firstLine="0" w:firstLineChars="0"/>
        <w:rPr>
          <w:rFonts w:hint="eastAsia" w:ascii="仿宋_GB2312" w:hAnsi="仿宋_GB2312" w:eastAsia="仿宋_GB2312" w:cs="仿宋_GB2312"/>
          <w:kern w:val="0"/>
          <w:sz w:val="32"/>
          <w:szCs w:val="32"/>
        </w:rPr>
      </w:pPr>
      <w:r>
        <w:rPr>
          <w:rFonts w:hint="eastAsia" w:ascii="仿宋_GB2312" w:hAnsi="仿宋_GB2312" w:eastAsia="仿宋_GB2312" w:cs="仿宋_GB2312"/>
          <w:b/>
          <w:bCs/>
          <w:kern w:val="0"/>
          <w:sz w:val="32"/>
          <w:szCs w:val="32"/>
        </w:rPr>
        <w:t xml:space="preserve">    </w:t>
      </w:r>
      <w:r>
        <w:rPr>
          <w:rFonts w:hint="eastAsia" w:ascii="仿宋_GB2312" w:hAnsi="仿宋_GB2312" w:eastAsia="仿宋_GB2312" w:cs="仿宋_GB2312"/>
          <w:kern w:val="0"/>
          <w:sz w:val="32"/>
          <w:szCs w:val="32"/>
        </w:rPr>
        <w:t>未通过核验的，应将所发现的问题一次性告知购机者，并说明完善方法。</w:t>
      </w:r>
    </w:p>
    <w:p w14:paraId="3D4CA098">
      <w:pPr>
        <w:pStyle w:val="21"/>
        <w:snapToGrid w:val="0"/>
        <w:spacing w:line="560" w:lineRule="exact"/>
        <w:ind w:firstLine="0" w:firstLineChars="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w:t>
      </w:r>
      <w:r>
        <w:rPr>
          <w:rFonts w:hint="eastAsia" w:ascii="仿宋_GB2312" w:hAnsi="仿宋_GB2312" w:eastAsia="仿宋_GB2312" w:cs="仿宋_GB2312"/>
          <w:b/>
          <w:bCs/>
          <w:kern w:val="0"/>
          <w:sz w:val="32"/>
          <w:szCs w:val="32"/>
        </w:rPr>
        <w:t>（三）机具核验。</w:t>
      </w:r>
      <w:r>
        <w:rPr>
          <w:rFonts w:hint="eastAsia" w:ascii="仿宋_GB2312" w:hAnsi="仿宋_GB2312" w:eastAsia="仿宋_GB2312" w:cs="仿宋_GB2312"/>
          <w:kern w:val="0"/>
          <w:sz w:val="32"/>
          <w:szCs w:val="32"/>
        </w:rPr>
        <w:t>重点核验购机税控发票所显示的机具名称、生产企业、型号、发动机号（不带动力的可不核验）、出厂编号与所购实物机具铭牌显示信息是否一致，所购实物机具铭牌显示信息与农机购置补贴申请办理服务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农机购置补贴申请办理服务系统的牌证信息、机具信息是否一致，购机税控发票所显示的经销企业与农机购置补贴申请办理服务系统内对应的经销信息是否一致。重点核查单个购机者一次性购机5台以上及一个年度内购机10台以上的机具情况。加强对单人多台套、短期内大批量、同人连年购置同类机具、区域适应性差的机具购置等异常情形的核验。</w:t>
      </w:r>
    </w:p>
    <w:p w14:paraId="546E92F5">
      <w:pPr>
        <w:pStyle w:val="21"/>
        <w:snapToGrid w:val="0"/>
        <w:spacing w:line="560" w:lineRule="exact"/>
        <w:ind w:firstLine="632"/>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鼓励通过进村入户、提前预约等方式开展核验，便利购机者以及设施安装类机具核验。核验结果由核验人员与购机者双方签字确认。实行双人交叉核验或个人核验、</w:t>
      </w:r>
      <w:r>
        <w:rPr>
          <w:rFonts w:hint="eastAsia" w:ascii="仿宋_GB2312" w:hAnsi="仿宋_GB2312" w:eastAsia="仿宋_GB2312" w:cs="仿宋_GB2312"/>
          <w:sz w:val="32"/>
          <w:szCs w:val="32"/>
        </w:rPr>
        <w:t>单位内部集体会审双重审核，探索对补贴机具核验结果实行基层农机化、种植业、畜牧业、渔业、农产品初加工等有关方面共同参加的集体会商。</w:t>
      </w:r>
      <w:r>
        <w:rPr>
          <w:rFonts w:hint="eastAsia" w:ascii="仿宋_GB2312" w:hAnsi="仿宋_GB2312" w:eastAsia="仿宋_GB2312" w:cs="仿宋_GB2312"/>
          <w:kern w:val="0"/>
          <w:sz w:val="32"/>
          <w:szCs w:val="32"/>
        </w:rPr>
        <w:t xml:space="preserve">    </w:t>
      </w:r>
    </w:p>
    <w:p w14:paraId="5A65A76C">
      <w:pPr>
        <w:pStyle w:val="21"/>
        <w:snapToGrid w:val="0"/>
        <w:spacing w:line="560" w:lineRule="exact"/>
        <w:ind w:firstLine="632"/>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未通过核验的，应将所发现的问题一次性告知购机者，并说明完善方法。</w:t>
      </w:r>
    </w:p>
    <w:p w14:paraId="397A0EE9">
      <w:pPr>
        <w:pStyle w:val="21"/>
        <w:snapToGrid w:val="0"/>
        <w:spacing w:line="560" w:lineRule="exact"/>
        <w:ind w:firstLine="0" w:firstLineChars="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w:t>
      </w:r>
      <w:r>
        <w:rPr>
          <w:rFonts w:hint="eastAsia" w:ascii="仿宋_GB2312" w:hAnsi="仿宋_GB2312" w:eastAsia="仿宋_GB2312" w:cs="仿宋_GB2312"/>
          <w:b/>
          <w:bCs/>
          <w:kern w:val="0"/>
          <w:sz w:val="32"/>
          <w:szCs w:val="32"/>
        </w:rPr>
        <w:t>（四）复核登记。</w:t>
      </w:r>
      <w:r>
        <w:rPr>
          <w:rFonts w:hint="eastAsia" w:ascii="仿宋_GB2312" w:hAnsi="仿宋_GB2312" w:eastAsia="仿宋_GB2312" w:cs="仿宋_GB2312"/>
          <w:kern w:val="0"/>
          <w:sz w:val="32"/>
          <w:szCs w:val="32"/>
        </w:rPr>
        <w:t>对资料核验、机具核验的程序、方式和签章的规范性进行集体复核，可与集体会商同步进行，通过后登记立册。</w:t>
      </w:r>
    </w:p>
    <w:p w14:paraId="441CA9C7">
      <w:pPr>
        <w:pStyle w:val="21"/>
        <w:snapToGrid w:val="0"/>
        <w:spacing w:line="560" w:lineRule="exact"/>
        <w:ind w:firstLine="0" w:firstLineChars="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w:t>
      </w:r>
      <w:r>
        <w:rPr>
          <w:rFonts w:hint="eastAsia" w:ascii="仿宋_GB2312" w:hAnsi="仿宋_GB2312" w:eastAsia="仿宋_GB2312" w:cs="仿宋_GB2312"/>
          <w:b/>
          <w:bCs/>
          <w:kern w:val="0"/>
          <w:sz w:val="32"/>
          <w:szCs w:val="32"/>
        </w:rPr>
        <w:t>（五）公示报送。</w:t>
      </w:r>
      <w:r>
        <w:rPr>
          <w:rFonts w:hint="eastAsia" w:ascii="仿宋_GB2312" w:hAnsi="仿宋_GB2312" w:eastAsia="仿宋_GB2312" w:cs="仿宋_GB2312"/>
          <w:kern w:val="0"/>
          <w:sz w:val="32"/>
          <w:szCs w:val="32"/>
        </w:rPr>
        <w:t>对通过复核的补贴申请信息进行为期不少于5天的公示，公示无异议后报送同级财政部门。</w:t>
      </w:r>
    </w:p>
    <w:p w14:paraId="26743A8A">
      <w:pPr>
        <w:pStyle w:val="21"/>
        <w:snapToGrid w:val="0"/>
        <w:spacing w:line="560" w:lineRule="exact"/>
        <w:ind w:firstLine="0" w:firstLineChars="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w:t>
      </w:r>
      <w:r>
        <w:rPr>
          <w:rFonts w:hint="eastAsia" w:ascii="仿宋_GB2312" w:hAnsi="仿宋_GB2312" w:eastAsia="仿宋_GB2312" w:cs="仿宋_GB2312"/>
          <w:b/>
          <w:bCs/>
          <w:kern w:val="0"/>
          <w:sz w:val="32"/>
          <w:szCs w:val="32"/>
        </w:rPr>
        <w:t>（六）资料处理。</w:t>
      </w:r>
      <w:r>
        <w:rPr>
          <w:rFonts w:hint="eastAsia" w:ascii="仿宋_GB2312" w:hAnsi="仿宋_GB2312" w:eastAsia="仿宋_GB2312" w:cs="仿宋_GB2312"/>
          <w:kern w:val="0"/>
          <w:sz w:val="32"/>
          <w:szCs w:val="32"/>
        </w:rPr>
        <w:t>对财政部门未提出异议的补贴申请，将其核验资料留存备用备查，留存期限不少于5年。</w:t>
      </w:r>
    </w:p>
    <w:p w14:paraId="15976456">
      <w:pPr>
        <w:widowControl/>
        <w:snapToGrid w:val="0"/>
        <w:spacing w:line="560" w:lineRule="exact"/>
        <w:ind w:firstLine="632" w:firstLineChars="200"/>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三、监督管理</w:t>
      </w:r>
    </w:p>
    <w:p w14:paraId="3A2611F4">
      <w:pPr>
        <w:pStyle w:val="21"/>
        <w:snapToGrid w:val="0"/>
        <w:spacing w:line="560" w:lineRule="exact"/>
        <w:ind w:firstLine="0" w:firstLineChars="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w:t>
      </w:r>
      <w:r>
        <w:rPr>
          <w:rFonts w:hint="eastAsia" w:ascii="仿宋_GB2312" w:hAnsi="仿宋_GB2312" w:eastAsia="仿宋_GB2312" w:cs="仿宋_GB2312"/>
          <w:b/>
          <w:bCs/>
          <w:kern w:val="0"/>
          <w:sz w:val="32"/>
          <w:szCs w:val="32"/>
        </w:rPr>
        <w:t>（一）加强核验人员队伍建设。</w:t>
      </w:r>
      <w:r>
        <w:rPr>
          <w:rFonts w:hint="eastAsia" w:ascii="仿宋_GB2312" w:hAnsi="仿宋_GB2312" w:eastAsia="仿宋_GB2312" w:cs="仿宋_GB2312"/>
          <w:kern w:val="0"/>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22C85529">
      <w:pPr>
        <w:pStyle w:val="21"/>
        <w:snapToGrid w:val="0"/>
        <w:spacing w:line="560" w:lineRule="exact"/>
        <w:ind w:firstLine="0" w:firstLineChars="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w:t>
      </w:r>
      <w:r>
        <w:rPr>
          <w:rFonts w:hint="eastAsia" w:ascii="仿宋_GB2312" w:hAnsi="仿宋_GB2312" w:eastAsia="仿宋_GB2312" w:cs="仿宋_GB2312"/>
          <w:b/>
          <w:bCs/>
          <w:kern w:val="0"/>
          <w:sz w:val="32"/>
          <w:szCs w:val="32"/>
        </w:rPr>
        <w:t>（二）推行购机承诺践诺。</w:t>
      </w:r>
      <w:r>
        <w:rPr>
          <w:rFonts w:hint="eastAsia" w:ascii="仿宋_GB2312" w:hAnsi="仿宋_GB2312" w:eastAsia="仿宋_GB2312" w:cs="仿宋_GB2312"/>
          <w:kern w:val="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2E47DC0A">
      <w:pPr>
        <w:pStyle w:val="21"/>
        <w:snapToGrid w:val="0"/>
        <w:spacing w:line="560" w:lineRule="exact"/>
        <w:ind w:firstLine="0" w:firstLineChars="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w:t>
      </w:r>
      <w:r>
        <w:rPr>
          <w:rFonts w:hint="eastAsia" w:ascii="仿宋_GB2312" w:hAnsi="仿宋_GB2312" w:eastAsia="仿宋_GB2312" w:cs="仿宋_GB2312"/>
          <w:b/>
          <w:bCs/>
          <w:kern w:val="0"/>
          <w:sz w:val="32"/>
          <w:szCs w:val="32"/>
        </w:rPr>
        <w:t>（三）全面排查违规线索。</w:t>
      </w:r>
      <w:r>
        <w:rPr>
          <w:rFonts w:hint="eastAsia" w:ascii="仿宋_GB2312" w:hAnsi="仿宋_GB2312" w:eastAsia="仿宋_GB2312" w:cs="仿宋_GB2312"/>
          <w:kern w:val="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w:t>
      </w:r>
      <w:r>
        <w:rPr>
          <w:rFonts w:hint="eastAsia" w:ascii="仿宋_GB2312" w:hAnsi="仿宋_GB2312" w:eastAsia="仿宋_GB2312" w:cs="仿宋_GB2312"/>
          <w:kern w:val="0"/>
          <w:sz w:val="32"/>
          <w:szCs w:val="32"/>
          <w:lang w:val="en-US" w:eastAsia="zh-CN"/>
        </w:rPr>
        <w:t>靖江</w:t>
      </w:r>
      <w:r>
        <w:rPr>
          <w:rFonts w:hint="eastAsia" w:ascii="仿宋_GB2312" w:hAnsi="仿宋_GB2312" w:eastAsia="仿宋_GB2312" w:cs="仿宋_GB2312"/>
          <w:kern w:val="0"/>
          <w:sz w:val="32"/>
          <w:szCs w:val="32"/>
        </w:rPr>
        <w:t>市农机购置与应用补贴工作领导小组研究决策。</w:t>
      </w:r>
    </w:p>
    <w:p w14:paraId="04B0A70E">
      <w:pPr>
        <w:pStyle w:val="21"/>
        <w:snapToGrid w:val="0"/>
        <w:spacing w:line="560" w:lineRule="exact"/>
        <w:ind w:firstLine="624" w:firstLineChars="0"/>
        <w:rPr>
          <w:rFonts w:hint="eastAsia" w:ascii="仿宋_GB2312" w:hAnsi="仿宋_GB2312" w:eastAsia="仿宋_GB2312" w:cs="仿宋_GB2312"/>
          <w:kern w:val="0"/>
          <w:sz w:val="32"/>
          <w:szCs w:val="32"/>
        </w:rPr>
      </w:pPr>
      <w:r>
        <w:rPr>
          <w:rFonts w:hint="eastAsia" w:ascii="仿宋_GB2312" w:hAnsi="仿宋_GB2312" w:eastAsia="仿宋_GB2312" w:cs="仿宋_GB2312"/>
          <w:b/>
          <w:bCs/>
          <w:kern w:val="0"/>
          <w:sz w:val="32"/>
          <w:szCs w:val="32"/>
        </w:rPr>
        <w:t>（四）严格监督管理。</w:t>
      </w:r>
      <w:r>
        <w:rPr>
          <w:rFonts w:hint="eastAsia" w:ascii="仿宋_GB2312" w:hAnsi="仿宋_GB2312" w:eastAsia="仿宋_GB2312" w:cs="仿宋_GB2312"/>
          <w:kern w:val="0"/>
          <w:sz w:val="32"/>
          <w:szCs w:val="32"/>
        </w:rPr>
        <w:t>健全内部控制制度，以机具核验流程为主线，逐项工作、逐个环节查找风险点，制定防控措施。</w:t>
      </w:r>
    </w:p>
    <w:p w14:paraId="7ACEDC94">
      <w:pPr>
        <w:pStyle w:val="21"/>
        <w:snapToGrid w:val="0"/>
        <w:spacing w:line="560" w:lineRule="exact"/>
        <w:ind w:firstLine="624" w:firstLineChars="0"/>
        <w:rPr>
          <w:rFonts w:hint="eastAsia" w:ascii="仿宋_GB2312" w:hAnsi="仿宋_GB2312" w:eastAsia="仿宋_GB2312" w:cs="仿宋_GB2312"/>
          <w:kern w:val="0"/>
          <w:sz w:val="32"/>
          <w:szCs w:val="32"/>
        </w:rPr>
      </w:pPr>
    </w:p>
    <w:p w14:paraId="195EC50F">
      <w:pPr>
        <w:pStyle w:val="21"/>
        <w:snapToGrid w:val="0"/>
        <w:spacing w:line="560" w:lineRule="exact"/>
        <w:ind w:firstLine="624" w:firstLineChars="0"/>
        <w:rPr>
          <w:rFonts w:hint="eastAsia" w:ascii="仿宋_GB2312" w:hAnsi="仿宋_GB2312" w:eastAsia="仿宋_GB2312" w:cs="仿宋_GB2312"/>
          <w:kern w:val="0"/>
          <w:sz w:val="32"/>
          <w:szCs w:val="32"/>
        </w:rPr>
      </w:pPr>
    </w:p>
    <w:p w14:paraId="5C052BAE">
      <w:pPr>
        <w:pStyle w:val="21"/>
        <w:snapToGrid w:val="0"/>
        <w:spacing w:line="560" w:lineRule="exact"/>
        <w:ind w:firstLine="624" w:firstLineChars="0"/>
        <w:rPr>
          <w:rFonts w:hint="eastAsia" w:ascii="仿宋_GB2312" w:hAnsi="仿宋_GB2312" w:eastAsia="仿宋_GB2312" w:cs="仿宋_GB2312"/>
          <w:kern w:val="0"/>
          <w:sz w:val="32"/>
          <w:szCs w:val="32"/>
        </w:rPr>
      </w:pPr>
    </w:p>
    <w:p w14:paraId="6F0E0595">
      <w:pPr>
        <w:pStyle w:val="21"/>
        <w:snapToGrid w:val="0"/>
        <w:spacing w:line="560" w:lineRule="exact"/>
        <w:ind w:firstLine="624" w:firstLineChars="0"/>
        <w:rPr>
          <w:rFonts w:hint="eastAsia" w:ascii="仿宋_GB2312" w:hAnsi="仿宋_GB2312" w:eastAsia="仿宋_GB2312" w:cs="仿宋_GB2312"/>
          <w:kern w:val="0"/>
          <w:sz w:val="32"/>
          <w:szCs w:val="32"/>
        </w:rPr>
      </w:pPr>
      <w:bookmarkStart w:id="0" w:name="_GoBack"/>
      <w:bookmarkEnd w:id="0"/>
    </w:p>
    <w:p w14:paraId="06EE8628">
      <w:pPr>
        <w:pStyle w:val="21"/>
        <w:snapToGrid w:val="0"/>
        <w:spacing w:line="560" w:lineRule="exact"/>
        <w:ind w:firstLine="624" w:firstLineChars="0"/>
        <w:rPr>
          <w:rFonts w:hint="eastAsia" w:ascii="仿宋_GB2312" w:hAnsi="仿宋_GB2312" w:eastAsia="仿宋_GB2312" w:cs="仿宋_GB2312"/>
          <w:kern w:val="0"/>
          <w:sz w:val="32"/>
          <w:szCs w:val="32"/>
        </w:rPr>
      </w:pPr>
    </w:p>
    <w:p w14:paraId="6E10EBB2">
      <w:pPr>
        <w:pStyle w:val="21"/>
        <w:snapToGrid w:val="0"/>
        <w:spacing w:line="560" w:lineRule="exact"/>
        <w:ind w:firstLine="624" w:firstLineChars="0"/>
        <w:rPr>
          <w:rFonts w:hint="eastAsia" w:ascii="仿宋_GB2312" w:hAnsi="仿宋_GB2312" w:eastAsia="仿宋_GB2312" w:cs="仿宋_GB2312"/>
          <w:kern w:val="0"/>
          <w:sz w:val="32"/>
          <w:szCs w:val="32"/>
        </w:rPr>
      </w:pPr>
    </w:p>
    <w:p w14:paraId="2322D040">
      <w:pPr>
        <w:pStyle w:val="21"/>
        <w:snapToGrid w:val="0"/>
        <w:spacing w:line="560" w:lineRule="exact"/>
        <w:ind w:firstLine="5062" w:firstLineChars="1602"/>
        <w:rPr>
          <w:rFonts w:hint="eastAsia" w:ascii="仿宋_GB2312" w:hAnsi="宋体" w:eastAsia="仿宋_GB2312" w:cs="仿宋_GB2312"/>
          <w:kern w:val="0"/>
          <w:sz w:val="32"/>
          <w:szCs w:val="32"/>
          <w:lang w:val="en-US" w:eastAsia="zh-CN"/>
        </w:rPr>
      </w:pPr>
      <w:r>
        <w:rPr>
          <w:rFonts w:hint="eastAsia" w:ascii="仿宋_GB2312" w:hAnsi="宋体" w:eastAsia="仿宋_GB2312" w:cs="仿宋_GB2312"/>
          <w:kern w:val="0"/>
          <w:sz w:val="32"/>
          <w:szCs w:val="32"/>
          <w:lang w:val="en-US" w:eastAsia="zh-CN"/>
        </w:rPr>
        <w:t xml:space="preserve">   靖江市农业农村局</w:t>
      </w:r>
    </w:p>
    <w:p w14:paraId="5906F900">
      <w:pPr>
        <w:pStyle w:val="21"/>
        <w:snapToGrid w:val="0"/>
        <w:spacing w:line="560" w:lineRule="exact"/>
        <w:ind w:firstLine="5673" w:firstLineChars="1795"/>
        <w:rPr>
          <w:rFonts w:hint="eastAsia" w:ascii="仿宋_GB2312" w:hAnsi="仿宋_GB2312" w:eastAsia="仿宋_GB2312" w:cs="仿宋_GB2312"/>
          <w:kern w:val="0"/>
          <w:sz w:val="32"/>
          <w:szCs w:val="32"/>
        </w:rPr>
        <w:sectPr>
          <w:footerReference r:id="rId3" w:type="default"/>
          <w:footerReference r:id="rId4" w:type="even"/>
          <w:type w:val="continuous"/>
          <w:pgSz w:w="11907" w:h="16840"/>
          <w:pgMar w:top="1985" w:right="1531" w:bottom="2098" w:left="1531" w:header="709" w:footer="1361" w:gutter="0"/>
          <w:pgNumType w:fmt="numberInDash"/>
          <w:cols w:space="720" w:num="1"/>
          <w:docGrid w:type="linesAndChars" w:linePitch="579" w:charSpace="-842"/>
        </w:sectPr>
      </w:pPr>
      <w:r>
        <w:rPr>
          <w:rFonts w:hint="eastAsia" w:ascii="仿宋_GB2312" w:hAnsi="宋体" w:eastAsia="仿宋_GB2312" w:cs="仿宋_GB2312"/>
          <w:kern w:val="0"/>
          <w:sz w:val="32"/>
          <w:szCs w:val="32"/>
          <w:lang w:val="en-US" w:eastAsia="zh-CN"/>
        </w:rPr>
        <w:t>2025年3月14日</w:t>
      </w:r>
      <w:r>
        <w:rPr>
          <w:rFonts w:ascii="仿宋_GB2312" w:hAnsi="宋体" w:eastAsia="仿宋_GB2312" w:cs="仿宋_GB2312"/>
          <w:kern w:val="0"/>
          <w:sz w:val="32"/>
          <w:szCs w:val="32"/>
        </w:rPr>
        <w:t xml:space="preserve">  </w:t>
      </w:r>
    </w:p>
    <w:p w14:paraId="119460BD">
      <w:pPr>
        <w:pStyle w:val="21"/>
        <w:snapToGrid w:val="0"/>
        <w:spacing w:line="560" w:lineRule="exact"/>
        <w:ind w:left="0" w:leftChars="0" w:firstLine="0" w:firstLineChars="0"/>
        <w:rPr>
          <w:rFonts w:ascii="仿宋_GB2312" w:hAnsi="宋体" w:eastAsia="仿宋_GB2312" w:cs="仿宋_GB2312"/>
          <w:kern w:val="0"/>
          <w:sz w:val="32"/>
          <w:szCs w:val="32"/>
        </w:rPr>
      </w:pPr>
    </w:p>
    <w:p w14:paraId="0F6D194C">
      <w:pPr>
        <w:pStyle w:val="21"/>
        <w:snapToGrid w:val="0"/>
        <w:spacing w:line="560" w:lineRule="exact"/>
        <w:ind w:firstLine="6406" w:firstLineChars="2002"/>
        <w:rPr>
          <w:rFonts w:ascii="仿宋_GB2312" w:eastAsia="仿宋_GB2312" w:cs="Times New Roman"/>
          <w:kern w:val="0"/>
          <w:sz w:val="32"/>
          <w:szCs w:val="32"/>
        </w:rPr>
      </w:pPr>
      <w:r>
        <w:rPr>
          <w:rFonts w:hint="eastAsia" w:ascii="仿宋_GB2312" w:hAnsi="宋体" w:eastAsia="仿宋_GB2312" w:cs="仿宋_GB2312"/>
          <w:kern w:val="0"/>
          <w:sz w:val="32"/>
          <w:szCs w:val="32"/>
          <w:lang w:val="en-US" w:eastAsia="zh-CN"/>
        </w:rPr>
        <w:t xml:space="preserve">                                  </w:t>
      </w:r>
      <w:r>
        <w:rPr>
          <w:rFonts w:ascii="仿宋_GB2312" w:hAnsi="宋体" w:eastAsia="仿宋_GB2312" w:cs="仿宋_GB2312"/>
          <w:kern w:val="0"/>
          <w:sz w:val="32"/>
          <w:szCs w:val="32"/>
        </w:rPr>
        <w:t xml:space="preserve"> </w:t>
      </w:r>
    </w:p>
    <w:sectPr>
      <w:footerReference r:id="rId5" w:type="default"/>
      <w:type w:val="continuous"/>
      <w:pgSz w:w="11906" w:h="16838"/>
      <w:pgMar w:top="1474" w:right="1531" w:bottom="1304" w:left="1531"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BBF66F">
    <w:pPr>
      <w:pStyle w:val="5"/>
      <w:jc w:val="right"/>
      <w:rPr>
        <w:rFonts w:ascii="宋体" w:hAnsi="宋体"/>
        <w:sz w:val="28"/>
        <w:szCs w:val="28"/>
      </w:rPr>
    </w:pP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Pr>
        <w:rFonts w:ascii="宋体" w:hAnsi="宋体"/>
        <w:sz w:val="28"/>
        <w:szCs w:val="28"/>
        <w:lang w:val="zh-CN"/>
      </w:rPr>
      <w:t>-</w:t>
    </w:r>
    <w:r>
      <w:rPr>
        <w:rFonts w:ascii="宋体" w:hAnsi="宋体"/>
        <w:sz w:val="28"/>
        <w:szCs w:val="28"/>
      </w:rPr>
      <w:t xml:space="preserve"> 1 -</w:t>
    </w:r>
    <w:r>
      <w:rPr>
        <w:rFonts w:ascii="宋体" w:hAnsi="宋体"/>
        <w:sz w:val="28"/>
        <w:szCs w:val="28"/>
      </w:rPr>
      <w:fldChar w:fldCharType="end"/>
    </w:r>
  </w:p>
  <w:p w14:paraId="03306EF5">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5C53ED">
    <w:pPr>
      <w:pStyle w:val="5"/>
      <w:rPr>
        <w:rFonts w:ascii="宋体" w:hAnsi="宋体"/>
        <w:sz w:val="28"/>
        <w:szCs w:val="28"/>
      </w:rPr>
    </w:pP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Pr>
        <w:rFonts w:ascii="宋体" w:hAnsi="宋体"/>
        <w:sz w:val="28"/>
        <w:szCs w:val="28"/>
        <w:lang w:val="zh-CN"/>
      </w:rPr>
      <w:t>-</w:t>
    </w:r>
    <w:r>
      <w:rPr>
        <w:rFonts w:ascii="宋体" w:hAnsi="宋体"/>
        <w:sz w:val="28"/>
        <w:szCs w:val="28"/>
      </w:rPr>
      <w:t xml:space="preserve"> 2 -</w:t>
    </w:r>
    <w:r>
      <w:rPr>
        <w:rFonts w:ascii="宋体" w:hAnsi="宋体"/>
        <w:sz w:val="28"/>
        <w:szCs w:val="28"/>
      </w:rPr>
      <w:fldChar w:fldCharType="end"/>
    </w:r>
  </w:p>
  <w:p w14:paraId="72643EB7">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8775BC">
    <w:pPr>
      <w:pStyle w:val="5"/>
      <w:framePr w:wrap="auto" w:vAnchor="text" w:hAnchor="margin" w:xAlign="center" w:y="1"/>
      <w:rPr>
        <w:rStyle w:val="11"/>
        <w:rFonts w:cs="Times New Roman"/>
      </w:rPr>
    </w:pPr>
    <w:r>
      <w:rPr>
        <w:rStyle w:val="11"/>
      </w:rPr>
      <w:fldChar w:fldCharType="begin"/>
    </w:r>
    <w:r>
      <w:rPr>
        <w:rStyle w:val="11"/>
      </w:rPr>
      <w:instrText xml:space="preserve">PAGE  </w:instrText>
    </w:r>
    <w:r>
      <w:rPr>
        <w:rStyle w:val="11"/>
      </w:rPr>
      <w:fldChar w:fldCharType="separate"/>
    </w:r>
    <w:r>
      <w:rPr>
        <w:rStyle w:val="11"/>
      </w:rPr>
      <w:t>5</w:t>
    </w:r>
    <w:r>
      <w:rPr>
        <w:rStyle w:val="11"/>
      </w:rPr>
      <w:fldChar w:fldCharType="end"/>
    </w:r>
  </w:p>
  <w:p w14:paraId="19492E1D">
    <w:pPr>
      <w:pStyle w:val="5"/>
      <w:rPr>
        <w:rFonts w:cs="Times New Roman"/>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2"/>
  </w:compat>
  <w:docVars>
    <w:docVar w:name="commondata" w:val="eyJoZGlkIjoiMjhjODRjMjhkNTFmMTNjOWI1ZjU4OGQyYzU2ZDU0NTMifQ=="/>
  </w:docVars>
  <w:rsids>
    <w:rsidRoot w:val="000B4A6C"/>
    <w:rsid w:val="00002071"/>
    <w:rsid w:val="000020DB"/>
    <w:rsid w:val="00003519"/>
    <w:rsid w:val="00006B2E"/>
    <w:rsid w:val="000158BB"/>
    <w:rsid w:val="00024343"/>
    <w:rsid w:val="0002748C"/>
    <w:rsid w:val="00034EB6"/>
    <w:rsid w:val="00035BB8"/>
    <w:rsid w:val="000404C4"/>
    <w:rsid w:val="000475C4"/>
    <w:rsid w:val="00050F65"/>
    <w:rsid w:val="00055626"/>
    <w:rsid w:val="00055D44"/>
    <w:rsid w:val="00060EBA"/>
    <w:rsid w:val="00070D4C"/>
    <w:rsid w:val="00073605"/>
    <w:rsid w:val="0007462F"/>
    <w:rsid w:val="0008270A"/>
    <w:rsid w:val="00087C3A"/>
    <w:rsid w:val="000933E7"/>
    <w:rsid w:val="00095196"/>
    <w:rsid w:val="00096D3E"/>
    <w:rsid w:val="000A24A6"/>
    <w:rsid w:val="000A6FD4"/>
    <w:rsid w:val="000B3129"/>
    <w:rsid w:val="000B4731"/>
    <w:rsid w:val="000B4A6C"/>
    <w:rsid w:val="000B4F9E"/>
    <w:rsid w:val="000B5059"/>
    <w:rsid w:val="000B5FAE"/>
    <w:rsid w:val="000C20BA"/>
    <w:rsid w:val="000C6ADB"/>
    <w:rsid w:val="000C768F"/>
    <w:rsid w:val="000D33EB"/>
    <w:rsid w:val="000D5C14"/>
    <w:rsid w:val="000E0E9F"/>
    <w:rsid w:val="000E4354"/>
    <w:rsid w:val="000E768B"/>
    <w:rsid w:val="000F0529"/>
    <w:rsid w:val="000F6A4E"/>
    <w:rsid w:val="00101488"/>
    <w:rsid w:val="00101601"/>
    <w:rsid w:val="00103372"/>
    <w:rsid w:val="00104E68"/>
    <w:rsid w:val="00111204"/>
    <w:rsid w:val="00116E09"/>
    <w:rsid w:val="001226C6"/>
    <w:rsid w:val="001268CC"/>
    <w:rsid w:val="00130682"/>
    <w:rsid w:val="00135429"/>
    <w:rsid w:val="00136CBC"/>
    <w:rsid w:val="00136F75"/>
    <w:rsid w:val="001379D8"/>
    <w:rsid w:val="00140B84"/>
    <w:rsid w:val="00160AED"/>
    <w:rsid w:val="00164A16"/>
    <w:rsid w:val="00170171"/>
    <w:rsid w:val="00180B29"/>
    <w:rsid w:val="001B14C5"/>
    <w:rsid w:val="001B2186"/>
    <w:rsid w:val="001B3A93"/>
    <w:rsid w:val="001B4A85"/>
    <w:rsid w:val="001B6DF3"/>
    <w:rsid w:val="001C0FD3"/>
    <w:rsid w:val="001C1D38"/>
    <w:rsid w:val="001C3694"/>
    <w:rsid w:val="001C3A8E"/>
    <w:rsid w:val="001C7C01"/>
    <w:rsid w:val="001D6E58"/>
    <w:rsid w:val="001D6FEC"/>
    <w:rsid w:val="001E055F"/>
    <w:rsid w:val="001E5E9D"/>
    <w:rsid w:val="001F1F31"/>
    <w:rsid w:val="001F4802"/>
    <w:rsid w:val="001F5859"/>
    <w:rsid w:val="001F74E9"/>
    <w:rsid w:val="002000FE"/>
    <w:rsid w:val="00204D15"/>
    <w:rsid w:val="002055F0"/>
    <w:rsid w:val="00214054"/>
    <w:rsid w:val="00215683"/>
    <w:rsid w:val="00216768"/>
    <w:rsid w:val="00221843"/>
    <w:rsid w:val="00221C67"/>
    <w:rsid w:val="00226682"/>
    <w:rsid w:val="00230A28"/>
    <w:rsid w:val="00232103"/>
    <w:rsid w:val="002350E5"/>
    <w:rsid w:val="00241A44"/>
    <w:rsid w:val="00241FA3"/>
    <w:rsid w:val="002442A9"/>
    <w:rsid w:val="00245750"/>
    <w:rsid w:val="00250756"/>
    <w:rsid w:val="00251A9D"/>
    <w:rsid w:val="00252331"/>
    <w:rsid w:val="00252F5E"/>
    <w:rsid w:val="00263AC7"/>
    <w:rsid w:val="00264E70"/>
    <w:rsid w:val="00265F18"/>
    <w:rsid w:val="002720A4"/>
    <w:rsid w:val="00273021"/>
    <w:rsid w:val="00276487"/>
    <w:rsid w:val="00277E35"/>
    <w:rsid w:val="00280C12"/>
    <w:rsid w:val="002941D7"/>
    <w:rsid w:val="002A04D6"/>
    <w:rsid w:val="002A1AE9"/>
    <w:rsid w:val="002A36D1"/>
    <w:rsid w:val="002A5284"/>
    <w:rsid w:val="002B1B00"/>
    <w:rsid w:val="002B1EA8"/>
    <w:rsid w:val="002C4840"/>
    <w:rsid w:val="002D2776"/>
    <w:rsid w:val="002D3784"/>
    <w:rsid w:val="002D4D7A"/>
    <w:rsid w:val="002D7D3C"/>
    <w:rsid w:val="002E43C9"/>
    <w:rsid w:val="002E7806"/>
    <w:rsid w:val="002F0F1A"/>
    <w:rsid w:val="002F424D"/>
    <w:rsid w:val="002F49F1"/>
    <w:rsid w:val="002F65F6"/>
    <w:rsid w:val="00303001"/>
    <w:rsid w:val="00304BEA"/>
    <w:rsid w:val="00305173"/>
    <w:rsid w:val="00307BE0"/>
    <w:rsid w:val="0031088A"/>
    <w:rsid w:val="00312060"/>
    <w:rsid w:val="00312CFF"/>
    <w:rsid w:val="00313107"/>
    <w:rsid w:val="00322E11"/>
    <w:rsid w:val="00325513"/>
    <w:rsid w:val="0033731D"/>
    <w:rsid w:val="00337670"/>
    <w:rsid w:val="0035771F"/>
    <w:rsid w:val="00362B84"/>
    <w:rsid w:val="003667B8"/>
    <w:rsid w:val="003704B9"/>
    <w:rsid w:val="00372FCD"/>
    <w:rsid w:val="00375859"/>
    <w:rsid w:val="00376C2A"/>
    <w:rsid w:val="0039336A"/>
    <w:rsid w:val="00397CC4"/>
    <w:rsid w:val="003A1DF2"/>
    <w:rsid w:val="003B49F1"/>
    <w:rsid w:val="003B7503"/>
    <w:rsid w:val="003C071E"/>
    <w:rsid w:val="003C1720"/>
    <w:rsid w:val="003D0329"/>
    <w:rsid w:val="003D2C83"/>
    <w:rsid w:val="003D45E2"/>
    <w:rsid w:val="003D629D"/>
    <w:rsid w:val="003E2E58"/>
    <w:rsid w:val="003E347C"/>
    <w:rsid w:val="003E4E17"/>
    <w:rsid w:val="003E6BAE"/>
    <w:rsid w:val="003F2B93"/>
    <w:rsid w:val="004009D6"/>
    <w:rsid w:val="00407465"/>
    <w:rsid w:val="00417927"/>
    <w:rsid w:val="004218B4"/>
    <w:rsid w:val="00422BFB"/>
    <w:rsid w:val="00423902"/>
    <w:rsid w:val="00425194"/>
    <w:rsid w:val="0043032B"/>
    <w:rsid w:val="00431577"/>
    <w:rsid w:val="0043398A"/>
    <w:rsid w:val="00441E5A"/>
    <w:rsid w:val="004451D7"/>
    <w:rsid w:val="00447B7F"/>
    <w:rsid w:val="00447FE7"/>
    <w:rsid w:val="004559B1"/>
    <w:rsid w:val="00477BEB"/>
    <w:rsid w:val="004826A9"/>
    <w:rsid w:val="00482BCF"/>
    <w:rsid w:val="004858EB"/>
    <w:rsid w:val="004A1BE2"/>
    <w:rsid w:val="004A1E4F"/>
    <w:rsid w:val="004A4026"/>
    <w:rsid w:val="004A5309"/>
    <w:rsid w:val="004A7A4C"/>
    <w:rsid w:val="004A7F58"/>
    <w:rsid w:val="004B510C"/>
    <w:rsid w:val="004B528A"/>
    <w:rsid w:val="004C3AE3"/>
    <w:rsid w:val="004C4BE1"/>
    <w:rsid w:val="004C5721"/>
    <w:rsid w:val="004C5B64"/>
    <w:rsid w:val="004C6295"/>
    <w:rsid w:val="004D48F8"/>
    <w:rsid w:val="004D6A7A"/>
    <w:rsid w:val="004E212C"/>
    <w:rsid w:val="004E2D89"/>
    <w:rsid w:val="004F008E"/>
    <w:rsid w:val="004F0269"/>
    <w:rsid w:val="004F6A98"/>
    <w:rsid w:val="00500482"/>
    <w:rsid w:val="00500FEE"/>
    <w:rsid w:val="0050178E"/>
    <w:rsid w:val="00502412"/>
    <w:rsid w:val="00506179"/>
    <w:rsid w:val="00515927"/>
    <w:rsid w:val="00515CBF"/>
    <w:rsid w:val="00524D18"/>
    <w:rsid w:val="00526FF6"/>
    <w:rsid w:val="00532072"/>
    <w:rsid w:val="00532753"/>
    <w:rsid w:val="0053419F"/>
    <w:rsid w:val="00535183"/>
    <w:rsid w:val="00536E18"/>
    <w:rsid w:val="0055146C"/>
    <w:rsid w:val="00560FCD"/>
    <w:rsid w:val="0056695B"/>
    <w:rsid w:val="00571553"/>
    <w:rsid w:val="00571C1D"/>
    <w:rsid w:val="00572725"/>
    <w:rsid w:val="005833B9"/>
    <w:rsid w:val="00590B6C"/>
    <w:rsid w:val="005968EA"/>
    <w:rsid w:val="005975BA"/>
    <w:rsid w:val="005A2C48"/>
    <w:rsid w:val="005A4E4D"/>
    <w:rsid w:val="005A6DDF"/>
    <w:rsid w:val="005B7B74"/>
    <w:rsid w:val="005C0A64"/>
    <w:rsid w:val="005C2BE7"/>
    <w:rsid w:val="005C2D94"/>
    <w:rsid w:val="005C65A4"/>
    <w:rsid w:val="005D273F"/>
    <w:rsid w:val="005E5129"/>
    <w:rsid w:val="005E55DC"/>
    <w:rsid w:val="005E7E71"/>
    <w:rsid w:val="005F227C"/>
    <w:rsid w:val="00614619"/>
    <w:rsid w:val="00614712"/>
    <w:rsid w:val="006164A8"/>
    <w:rsid w:val="0061727F"/>
    <w:rsid w:val="00620B27"/>
    <w:rsid w:val="00623D48"/>
    <w:rsid w:val="00631823"/>
    <w:rsid w:val="0064098E"/>
    <w:rsid w:val="0064354A"/>
    <w:rsid w:val="0066719C"/>
    <w:rsid w:val="006779F5"/>
    <w:rsid w:val="00680196"/>
    <w:rsid w:val="00680A37"/>
    <w:rsid w:val="00691A19"/>
    <w:rsid w:val="00691B43"/>
    <w:rsid w:val="006A188B"/>
    <w:rsid w:val="006B446D"/>
    <w:rsid w:val="006B4F7B"/>
    <w:rsid w:val="006B5011"/>
    <w:rsid w:val="006B69E8"/>
    <w:rsid w:val="006C041E"/>
    <w:rsid w:val="006C4B84"/>
    <w:rsid w:val="006C5C4A"/>
    <w:rsid w:val="006C7377"/>
    <w:rsid w:val="006D1EAC"/>
    <w:rsid w:val="006D4611"/>
    <w:rsid w:val="006D6A5E"/>
    <w:rsid w:val="006D6D14"/>
    <w:rsid w:val="006E05F2"/>
    <w:rsid w:val="006E08C7"/>
    <w:rsid w:val="006E20BF"/>
    <w:rsid w:val="006E262B"/>
    <w:rsid w:val="006F4FDF"/>
    <w:rsid w:val="006F69C4"/>
    <w:rsid w:val="0070501B"/>
    <w:rsid w:val="007162A2"/>
    <w:rsid w:val="00717E85"/>
    <w:rsid w:val="00722EF7"/>
    <w:rsid w:val="007236D2"/>
    <w:rsid w:val="0072381B"/>
    <w:rsid w:val="00724FE9"/>
    <w:rsid w:val="0072505E"/>
    <w:rsid w:val="007328F0"/>
    <w:rsid w:val="00732C5A"/>
    <w:rsid w:val="007358AD"/>
    <w:rsid w:val="00740B03"/>
    <w:rsid w:val="00747AE9"/>
    <w:rsid w:val="00754812"/>
    <w:rsid w:val="007549B4"/>
    <w:rsid w:val="00762EED"/>
    <w:rsid w:val="007643B2"/>
    <w:rsid w:val="00767DF4"/>
    <w:rsid w:val="00770474"/>
    <w:rsid w:val="007716FA"/>
    <w:rsid w:val="0077187A"/>
    <w:rsid w:val="0077391F"/>
    <w:rsid w:val="00790A93"/>
    <w:rsid w:val="00791A4A"/>
    <w:rsid w:val="0079476E"/>
    <w:rsid w:val="007A32A2"/>
    <w:rsid w:val="007B23E6"/>
    <w:rsid w:val="007B2B21"/>
    <w:rsid w:val="007B5E11"/>
    <w:rsid w:val="007B76CD"/>
    <w:rsid w:val="007C401E"/>
    <w:rsid w:val="007D47FD"/>
    <w:rsid w:val="007D63DD"/>
    <w:rsid w:val="007E0E83"/>
    <w:rsid w:val="007E100F"/>
    <w:rsid w:val="007E5480"/>
    <w:rsid w:val="007E569A"/>
    <w:rsid w:val="007F5838"/>
    <w:rsid w:val="00804207"/>
    <w:rsid w:val="00804568"/>
    <w:rsid w:val="00804BE2"/>
    <w:rsid w:val="00807F6F"/>
    <w:rsid w:val="0081251B"/>
    <w:rsid w:val="008133D7"/>
    <w:rsid w:val="00814011"/>
    <w:rsid w:val="00851A74"/>
    <w:rsid w:val="00853090"/>
    <w:rsid w:val="0085441E"/>
    <w:rsid w:val="00861743"/>
    <w:rsid w:val="00863035"/>
    <w:rsid w:val="0086368D"/>
    <w:rsid w:val="008670BA"/>
    <w:rsid w:val="008714FB"/>
    <w:rsid w:val="00872CFC"/>
    <w:rsid w:val="00874248"/>
    <w:rsid w:val="00882F6F"/>
    <w:rsid w:val="00884BE4"/>
    <w:rsid w:val="00891C8D"/>
    <w:rsid w:val="008935CA"/>
    <w:rsid w:val="0089363D"/>
    <w:rsid w:val="00894C37"/>
    <w:rsid w:val="0089781A"/>
    <w:rsid w:val="008A00F2"/>
    <w:rsid w:val="008C057F"/>
    <w:rsid w:val="008C6989"/>
    <w:rsid w:val="008C6D28"/>
    <w:rsid w:val="008D356A"/>
    <w:rsid w:val="008D56EC"/>
    <w:rsid w:val="008E1E8F"/>
    <w:rsid w:val="009003BD"/>
    <w:rsid w:val="00901855"/>
    <w:rsid w:val="00904A5F"/>
    <w:rsid w:val="00905D6D"/>
    <w:rsid w:val="00910BE0"/>
    <w:rsid w:val="0091405C"/>
    <w:rsid w:val="00915245"/>
    <w:rsid w:val="00921CF4"/>
    <w:rsid w:val="00925E8C"/>
    <w:rsid w:val="00926375"/>
    <w:rsid w:val="009277ED"/>
    <w:rsid w:val="00943C53"/>
    <w:rsid w:val="00944413"/>
    <w:rsid w:val="009464BD"/>
    <w:rsid w:val="0094719E"/>
    <w:rsid w:val="00960EFA"/>
    <w:rsid w:val="009659C4"/>
    <w:rsid w:val="00966B45"/>
    <w:rsid w:val="00972887"/>
    <w:rsid w:val="00973C3B"/>
    <w:rsid w:val="009808D5"/>
    <w:rsid w:val="0098403F"/>
    <w:rsid w:val="00995D3B"/>
    <w:rsid w:val="009A1DAC"/>
    <w:rsid w:val="009B4C46"/>
    <w:rsid w:val="009B675D"/>
    <w:rsid w:val="009C0FAC"/>
    <w:rsid w:val="009D4EE5"/>
    <w:rsid w:val="009D7094"/>
    <w:rsid w:val="009E09F0"/>
    <w:rsid w:val="009E5CFD"/>
    <w:rsid w:val="009E5E48"/>
    <w:rsid w:val="009F4836"/>
    <w:rsid w:val="009F684C"/>
    <w:rsid w:val="00A14650"/>
    <w:rsid w:val="00A16F0A"/>
    <w:rsid w:val="00A301AE"/>
    <w:rsid w:val="00A30DCE"/>
    <w:rsid w:val="00A358E8"/>
    <w:rsid w:val="00A375C7"/>
    <w:rsid w:val="00A40E66"/>
    <w:rsid w:val="00A41B2E"/>
    <w:rsid w:val="00A43949"/>
    <w:rsid w:val="00A52186"/>
    <w:rsid w:val="00A52B44"/>
    <w:rsid w:val="00A60F56"/>
    <w:rsid w:val="00A64347"/>
    <w:rsid w:val="00A74753"/>
    <w:rsid w:val="00A75152"/>
    <w:rsid w:val="00A75501"/>
    <w:rsid w:val="00A875F9"/>
    <w:rsid w:val="00A966C0"/>
    <w:rsid w:val="00AA0532"/>
    <w:rsid w:val="00AA15B5"/>
    <w:rsid w:val="00AA69E1"/>
    <w:rsid w:val="00AB2153"/>
    <w:rsid w:val="00AC3408"/>
    <w:rsid w:val="00AC4F8C"/>
    <w:rsid w:val="00AC6926"/>
    <w:rsid w:val="00AD0857"/>
    <w:rsid w:val="00AE133A"/>
    <w:rsid w:val="00AE4804"/>
    <w:rsid w:val="00AE5A7F"/>
    <w:rsid w:val="00AF35E6"/>
    <w:rsid w:val="00AF5D27"/>
    <w:rsid w:val="00AF7887"/>
    <w:rsid w:val="00B05E7C"/>
    <w:rsid w:val="00B067DD"/>
    <w:rsid w:val="00B15700"/>
    <w:rsid w:val="00B21570"/>
    <w:rsid w:val="00B23842"/>
    <w:rsid w:val="00B256D2"/>
    <w:rsid w:val="00B26565"/>
    <w:rsid w:val="00B266A3"/>
    <w:rsid w:val="00B405D7"/>
    <w:rsid w:val="00B41DAD"/>
    <w:rsid w:val="00B42151"/>
    <w:rsid w:val="00B45C51"/>
    <w:rsid w:val="00B479E5"/>
    <w:rsid w:val="00B47F22"/>
    <w:rsid w:val="00B5194B"/>
    <w:rsid w:val="00B55477"/>
    <w:rsid w:val="00B573A9"/>
    <w:rsid w:val="00B5776A"/>
    <w:rsid w:val="00B760A6"/>
    <w:rsid w:val="00B83316"/>
    <w:rsid w:val="00B94417"/>
    <w:rsid w:val="00B96BB6"/>
    <w:rsid w:val="00BA2CAB"/>
    <w:rsid w:val="00BA57C8"/>
    <w:rsid w:val="00BB31EC"/>
    <w:rsid w:val="00BB3EC0"/>
    <w:rsid w:val="00BC0625"/>
    <w:rsid w:val="00BC5F64"/>
    <w:rsid w:val="00BC6FF2"/>
    <w:rsid w:val="00BD1CEF"/>
    <w:rsid w:val="00BD26D3"/>
    <w:rsid w:val="00BD62CD"/>
    <w:rsid w:val="00BD7730"/>
    <w:rsid w:val="00BE1C2C"/>
    <w:rsid w:val="00BE3EEC"/>
    <w:rsid w:val="00BF1FD9"/>
    <w:rsid w:val="00C0093A"/>
    <w:rsid w:val="00C0777E"/>
    <w:rsid w:val="00C10C8B"/>
    <w:rsid w:val="00C12BC1"/>
    <w:rsid w:val="00C2273B"/>
    <w:rsid w:val="00C25CA2"/>
    <w:rsid w:val="00C26DB7"/>
    <w:rsid w:val="00C2701A"/>
    <w:rsid w:val="00C348F1"/>
    <w:rsid w:val="00C34DBF"/>
    <w:rsid w:val="00C370AD"/>
    <w:rsid w:val="00C40B67"/>
    <w:rsid w:val="00C41F5E"/>
    <w:rsid w:val="00C4455C"/>
    <w:rsid w:val="00C45288"/>
    <w:rsid w:val="00C45669"/>
    <w:rsid w:val="00C51209"/>
    <w:rsid w:val="00C52C52"/>
    <w:rsid w:val="00C554B7"/>
    <w:rsid w:val="00C5687F"/>
    <w:rsid w:val="00C56BA4"/>
    <w:rsid w:val="00C56E7D"/>
    <w:rsid w:val="00C57C17"/>
    <w:rsid w:val="00C6176D"/>
    <w:rsid w:val="00C6274E"/>
    <w:rsid w:val="00C635B4"/>
    <w:rsid w:val="00C647AD"/>
    <w:rsid w:val="00C72D98"/>
    <w:rsid w:val="00C745B5"/>
    <w:rsid w:val="00C75BE4"/>
    <w:rsid w:val="00C76318"/>
    <w:rsid w:val="00C80419"/>
    <w:rsid w:val="00C8055B"/>
    <w:rsid w:val="00C80D5B"/>
    <w:rsid w:val="00C83DC7"/>
    <w:rsid w:val="00C9564A"/>
    <w:rsid w:val="00C95DE7"/>
    <w:rsid w:val="00C97BDD"/>
    <w:rsid w:val="00CA3B6D"/>
    <w:rsid w:val="00CB177A"/>
    <w:rsid w:val="00CB3946"/>
    <w:rsid w:val="00CB4432"/>
    <w:rsid w:val="00CB663D"/>
    <w:rsid w:val="00CC53AC"/>
    <w:rsid w:val="00CD5DE2"/>
    <w:rsid w:val="00CE5687"/>
    <w:rsid w:val="00CF2C2F"/>
    <w:rsid w:val="00D020E3"/>
    <w:rsid w:val="00D03C35"/>
    <w:rsid w:val="00D07481"/>
    <w:rsid w:val="00D17B2D"/>
    <w:rsid w:val="00D209D3"/>
    <w:rsid w:val="00D22AF7"/>
    <w:rsid w:val="00D262F2"/>
    <w:rsid w:val="00D26316"/>
    <w:rsid w:val="00D33F7B"/>
    <w:rsid w:val="00D37505"/>
    <w:rsid w:val="00D43BBD"/>
    <w:rsid w:val="00D440F6"/>
    <w:rsid w:val="00D6324E"/>
    <w:rsid w:val="00D65DE7"/>
    <w:rsid w:val="00D70471"/>
    <w:rsid w:val="00D70D30"/>
    <w:rsid w:val="00D769B5"/>
    <w:rsid w:val="00D81AEB"/>
    <w:rsid w:val="00D914FB"/>
    <w:rsid w:val="00DA3492"/>
    <w:rsid w:val="00DA6623"/>
    <w:rsid w:val="00DB458B"/>
    <w:rsid w:val="00DC1FFB"/>
    <w:rsid w:val="00DE2DD0"/>
    <w:rsid w:val="00DF073E"/>
    <w:rsid w:val="00DF251B"/>
    <w:rsid w:val="00DF5055"/>
    <w:rsid w:val="00DF5166"/>
    <w:rsid w:val="00DF62C1"/>
    <w:rsid w:val="00DF649B"/>
    <w:rsid w:val="00E074E6"/>
    <w:rsid w:val="00E07A08"/>
    <w:rsid w:val="00E12443"/>
    <w:rsid w:val="00E132CC"/>
    <w:rsid w:val="00E15C0C"/>
    <w:rsid w:val="00E1717B"/>
    <w:rsid w:val="00E229FA"/>
    <w:rsid w:val="00E25E27"/>
    <w:rsid w:val="00E36674"/>
    <w:rsid w:val="00E423D4"/>
    <w:rsid w:val="00E530C0"/>
    <w:rsid w:val="00E535E2"/>
    <w:rsid w:val="00E54CE8"/>
    <w:rsid w:val="00E5525E"/>
    <w:rsid w:val="00E55F5A"/>
    <w:rsid w:val="00E563DD"/>
    <w:rsid w:val="00E611E5"/>
    <w:rsid w:val="00E625A8"/>
    <w:rsid w:val="00E636F6"/>
    <w:rsid w:val="00E64110"/>
    <w:rsid w:val="00E67E26"/>
    <w:rsid w:val="00E72822"/>
    <w:rsid w:val="00E750B8"/>
    <w:rsid w:val="00E82153"/>
    <w:rsid w:val="00E82364"/>
    <w:rsid w:val="00E8296A"/>
    <w:rsid w:val="00E837BB"/>
    <w:rsid w:val="00E85A5F"/>
    <w:rsid w:val="00EA59CE"/>
    <w:rsid w:val="00EB16CF"/>
    <w:rsid w:val="00EB3D1C"/>
    <w:rsid w:val="00EB4606"/>
    <w:rsid w:val="00EB48BC"/>
    <w:rsid w:val="00EC2EB8"/>
    <w:rsid w:val="00EC542A"/>
    <w:rsid w:val="00EE25EE"/>
    <w:rsid w:val="00EF3AD1"/>
    <w:rsid w:val="00EF5A57"/>
    <w:rsid w:val="00F02F33"/>
    <w:rsid w:val="00F13B62"/>
    <w:rsid w:val="00F16F49"/>
    <w:rsid w:val="00F174AB"/>
    <w:rsid w:val="00F178E5"/>
    <w:rsid w:val="00F278BB"/>
    <w:rsid w:val="00F37402"/>
    <w:rsid w:val="00F4730C"/>
    <w:rsid w:val="00F50B8F"/>
    <w:rsid w:val="00F54E17"/>
    <w:rsid w:val="00F573A0"/>
    <w:rsid w:val="00F57FAA"/>
    <w:rsid w:val="00F71245"/>
    <w:rsid w:val="00F72FF6"/>
    <w:rsid w:val="00F742CA"/>
    <w:rsid w:val="00F767C1"/>
    <w:rsid w:val="00F82974"/>
    <w:rsid w:val="00F8525F"/>
    <w:rsid w:val="00F94112"/>
    <w:rsid w:val="00F94641"/>
    <w:rsid w:val="00F94853"/>
    <w:rsid w:val="00FA2B82"/>
    <w:rsid w:val="00FA6493"/>
    <w:rsid w:val="00FA65B3"/>
    <w:rsid w:val="00FC1823"/>
    <w:rsid w:val="00FC3FE2"/>
    <w:rsid w:val="00FD0072"/>
    <w:rsid w:val="00FD2E8F"/>
    <w:rsid w:val="00FD6FA1"/>
    <w:rsid w:val="00FF3C30"/>
    <w:rsid w:val="00FF3E7F"/>
    <w:rsid w:val="02C51D0B"/>
    <w:rsid w:val="0D00339F"/>
    <w:rsid w:val="10FA317F"/>
    <w:rsid w:val="15A02639"/>
    <w:rsid w:val="1B77705C"/>
    <w:rsid w:val="21631ED8"/>
    <w:rsid w:val="290148CC"/>
    <w:rsid w:val="2BD51A91"/>
    <w:rsid w:val="2D9F0ED5"/>
    <w:rsid w:val="38033706"/>
    <w:rsid w:val="3F5633A0"/>
    <w:rsid w:val="40CA2CCA"/>
    <w:rsid w:val="410548BC"/>
    <w:rsid w:val="493842AA"/>
    <w:rsid w:val="4CB31A20"/>
    <w:rsid w:val="554D2211"/>
    <w:rsid w:val="57594886"/>
    <w:rsid w:val="677C1B5A"/>
    <w:rsid w:val="6B343BCD"/>
    <w:rsid w:val="6D263DB0"/>
    <w:rsid w:val="704E2FBC"/>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qFormat="1" w:unhideWhenUsed="0" w:uiPriority="0" w:semiHidden="0" w:name="Normal Indent"/>
    <w:lsdException w:uiPriority="99" w:name="footnote text"/>
    <w:lsdException w:qFormat="1" w:unhideWhenUsed="0"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qFormat="1" w:unhideWhenUsed="0"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nhideWhenUsed="0" w:uiPriority="0" w:semiHidden="0" w:name="Table Grid" w:locked="1"/>
    <w:lsdException w:uiPriority="99"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Calibri"/>
      <w:kern w:val="2"/>
      <w:sz w:val="21"/>
      <w:szCs w:val="21"/>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1"/>
    <w:qFormat/>
    <w:uiPriority w:val="0"/>
    <w:pPr>
      <w:keepNext w:val="0"/>
      <w:keepLines w:val="0"/>
      <w:widowControl w:val="0"/>
      <w:suppressLineNumbers w:val="0"/>
      <w:spacing w:before="0" w:beforeAutospacing="0" w:after="0" w:afterAutospacing="0" w:line="240" w:lineRule="auto"/>
      <w:ind w:left="0" w:firstLine="420"/>
      <w:jc w:val="both"/>
    </w:pPr>
    <w:rPr>
      <w:rFonts w:hint="default" w:ascii="Times New Roman" w:hAnsi="Times New Roman" w:eastAsia="宋体" w:cs="Times New Roman"/>
      <w:kern w:val="2"/>
      <w:sz w:val="21"/>
      <w:szCs w:val="20"/>
      <w:lang w:val="en-US" w:eastAsia="zh-CN" w:bidi="ar"/>
    </w:rPr>
  </w:style>
  <w:style w:type="paragraph" w:styleId="3">
    <w:name w:val="annotation text"/>
    <w:basedOn w:val="1"/>
    <w:link w:val="13"/>
    <w:semiHidden/>
    <w:qFormat/>
    <w:uiPriority w:val="99"/>
    <w:pPr>
      <w:jc w:val="left"/>
    </w:pPr>
  </w:style>
  <w:style w:type="paragraph" w:styleId="4">
    <w:name w:val="Balloon Text"/>
    <w:basedOn w:val="1"/>
    <w:link w:val="15"/>
    <w:qFormat/>
    <w:uiPriority w:val="0"/>
    <w:rPr>
      <w:sz w:val="18"/>
      <w:szCs w:val="18"/>
    </w:rPr>
  </w:style>
  <w:style w:type="paragraph" w:styleId="5">
    <w:name w:val="footer"/>
    <w:basedOn w:val="1"/>
    <w:link w:val="16"/>
    <w:qFormat/>
    <w:uiPriority w:val="99"/>
    <w:pPr>
      <w:tabs>
        <w:tab w:val="center" w:pos="4153"/>
        <w:tab w:val="right" w:pos="8306"/>
      </w:tabs>
      <w:snapToGrid w:val="0"/>
      <w:jc w:val="left"/>
    </w:pPr>
    <w:rPr>
      <w:sz w:val="18"/>
      <w:szCs w:val="18"/>
    </w:rPr>
  </w:style>
  <w:style w:type="paragraph" w:styleId="6">
    <w:name w:val="header"/>
    <w:basedOn w:val="1"/>
    <w:link w:val="17"/>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semiHidden/>
    <w:qFormat/>
    <w:uiPriority w:val="99"/>
    <w:pPr>
      <w:widowControl/>
      <w:spacing w:before="100" w:beforeAutospacing="1" w:after="100" w:afterAutospacing="1"/>
      <w:jc w:val="left"/>
    </w:pPr>
    <w:rPr>
      <w:rFonts w:ascii="宋体" w:hAnsi="宋体" w:cs="宋体"/>
      <w:kern w:val="0"/>
      <w:sz w:val="24"/>
      <w:szCs w:val="24"/>
    </w:rPr>
  </w:style>
  <w:style w:type="paragraph" w:styleId="8">
    <w:name w:val="annotation subject"/>
    <w:basedOn w:val="3"/>
    <w:next w:val="3"/>
    <w:link w:val="14"/>
    <w:semiHidden/>
    <w:qFormat/>
    <w:uiPriority w:val="99"/>
    <w:rPr>
      <w:b/>
      <w:bCs/>
    </w:rPr>
  </w:style>
  <w:style w:type="character" w:styleId="11">
    <w:name w:val="page number"/>
    <w:basedOn w:val="10"/>
    <w:qFormat/>
    <w:uiPriority w:val="99"/>
  </w:style>
  <w:style w:type="character" w:styleId="12">
    <w:name w:val="annotation reference"/>
    <w:basedOn w:val="10"/>
    <w:semiHidden/>
    <w:qFormat/>
    <w:uiPriority w:val="99"/>
    <w:rPr>
      <w:sz w:val="21"/>
      <w:szCs w:val="21"/>
    </w:rPr>
  </w:style>
  <w:style w:type="character" w:customStyle="1" w:styleId="13">
    <w:name w:val="批注文字 Char"/>
    <w:basedOn w:val="10"/>
    <w:link w:val="3"/>
    <w:semiHidden/>
    <w:qFormat/>
    <w:locked/>
    <w:uiPriority w:val="99"/>
  </w:style>
  <w:style w:type="character" w:customStyle="1" w:styleId="14">
    <w:name w:val="批注主题 Char"/>
    <w:basedOn w:val="13"/>
    <w:link w:val="8"/>
    <w:semiHidden/>
    <w:qFormat/>
    <w:locked/>
    <w:uiPriority w:val="99"/>
    <w:rPr>
      <w:b/>
      <w:bCs/>
    </w:rPr>
  </w:style>
  <w:style w:type="character" w:customStyle="1" w:styleId="15">
    <w:name w:val="批注框文本 Char"/>
    <w:basedOn w:val="10"/>
    <w:link w:val="4"/>
    <w:qFormat/>
    <w:locked/>
    <w:uiPriority w:val="0"/>
    <w:rPr>
      <w:sz w:val="18"/>
      <w:szCs w:val="18"/>
    </w:rPr>
  </w:style>
  <w:style w:type="character" w:customStyle="1" w:styleId="16">
    <w:name w:val="页脚 Char"/>
    <w:basedOn w:val="10"/>
    <w:link w:val="5"/>
    <w:qFormat/>
    <w:locked/>
    <w:uiPriority w:val="99"/>
    <w:rPr>
      <w:sz w:val="18"/>
      <w:szCs w:val="18"/>
    </w:rPr>
  </w:style>
  <w:style w:type="character" w:customStyle="1" w:styleId="17">
    <w:name w:val="页眉 Char"/>
    <w:basedOn w:val="10"/>
    <w:link w:val="6"/>
    <w:qFormat/>
    <w:locked/>
    <w:uiPriority w:val="99"/>
    <w:rPr>
      <w:sz w:val="18"/>
      <w:szCs w:val="18"/>
    </w:rPr>
  </w:style>
  <w:style w:type="paragraph" w:customStyle="1" w:styleId="18">
    <w:name w:val="Char"/>
    <w:basedOn w:val="1"/>
    <w:qFormat/>
    <w:uiPriority w:val="99"/>
    <w:pPr>
      <w:widowControl/>
      <w:spacing w:after="160" w:line="240" w:lineRule="exact"/>
      <w:jc w:val="left"/>
    </w:pPr>
    <w:rPr>
      <w:rFonts w:ascii="Arial" w:hAnsi="Arial" w:cs="Arial"/>
      <w:b/>
      <w:bCs/>
      <w:kern w:val="0"/>
      <w:sz w:val="24"/>
      <w:szCs w:val="24"/>
      <w:lang w:eastAsia="en-US"/>
    </w:rPr>
  </w:style>
  <w:style w:type="paragraph" w:customStyle="1" w:styleId="19">
    <w:name w:val="Char1"/>
    <w:basedOn w:val="1"/>
    <w:qFormat/>
    <w:uiPriority w:val="99"/>
    <w:pPr>
      <w:widowControl/>
      <w:spacing w:after="160" w:line="240" w:lineRule="exact"/>
      <w:jc w:val="left"/>
    </w:pPr>
    <w:rPr>
      <w:rFonts w:ascii="Arial" w:hAnsi="Arial" w:cs="Arial"/>
      <w:b/>
      <w:bCs/>
      <w:kern w:val="0"/>
      <w:sz w:val="24"/>
      <w:szCs w:val="24"/>
      <w:lang w:eastAsia="en-US"/>
    </w:rPr>
  </w:style>
  <w:style w:type="paragraph" w:styleId="20">
    <w:name w:val="No Spacing"/>
    <w:qFormat/>
    <w:uiPriority w:val="99"/>
    <w:pPr>
      <w:widowControl w:val="0"/>
      <w:jc w:val="both"/>
    </w:pPr>
    <w:rPr>
      <w:rFonts w:ascii="Times New Roman" w:hAnsi="Times New Roman" w:eastAsia="仿宋_GB2312" w:cs="Times New Roman"/>
      <w:kern w:val="2"/>
      <w:sz w:val="32"/>
      <w:szCs w:val="32"/>
      <w:lang w:val="en-US" w:eastAsia="zh-CN" w:bidi="ar-SA"/>
    </w:rPr>
  </w:style>
  <w:style w:type="paragraph" w:styleId="21">
    <w:name w:val="List Paragraph"/>
    <w:basedOn w:val="1"/>
    <w:qFormat/>
    <w:uiPriority w:val="99"/>
    <w:pPr>
      <w:ind w:firstLine="420" w:firstLineChars="200"/>
    </w:pPr>
  </w:style>
  <w:style w:type="paragraph" w:customStyle="1" w:styleId="22">
    <w:name w:val="修订1"/>
    <w:hidden/>
    <w:semiHidden/>
    <w:qFormat/>
    <w:uiPriority w:val="99"/>
    <w:rPr>
      <w:rFonts w:ascii="Calibri" w:hAnsi="Calibri" w:eastAsia="宋体" w:cs="Calibri"/>
      <w:kern w:val="2"/>
      <w:sz w:val="21"/>
      <w:szCs w:val="21"/>
      <w:lang w:val="en-US" w:eastAsia="zh-CN" w:bidi="ar-SA"/>
    </w:rPr>
  </w:style>
  <w:style w:type="paragraph" w:customStyle="1" w:styleId="23">
    <w:name w:val="列出段落1"/>
    <w:basedOn w:val="1"/>
    <w:qFormat/>
    <w:uiPriority w:val="99"/>
    <w:pPr>
      <w:ind w:firstLine="420" w:firstLineChars="200"/>
    </w:pPr>
  </w:style>
  <w:style w:type="paragraph" w:customStyle="1" w:styleId="24">
    <w:name w:val="Char Char3 Char Char Char Char"/>
    <w:basedOn w:val="1"/>
    <w:qFormat/>
    <w:uiPriority w:val="99"/>
    <w:pPr>
      <w:widowControl/>
      <w:spacing w:after="160" w:line="240" w:lineRule="exact"/>
      <w:jc w:val="left"/>
    </w:pPr>
    <w:rPr>
      <w:rFonts w:ascii="Arial" w:hAnsi="Arial" w:cs="Arial"/>
      <w:b/>
      <w:bCs/>
      <w:kern w:val="0"/>
      <w:sz w:val="24"/>
      <w:szCs w:val="24"/>
      <w:lang w:eastAsia="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china</Company>
  <Pages>6</Pages>
  <Words>2128</Words>
  <Characters>2137</Characters>
  <Lines>18</Lines>
  <Paragraphs>5</Paragraphs>
  <TotalTime>5</TotalTime>
  <ScaleCrop>false</ScaleCrop>
  <LinksUpToDate>false</LinksUpToDate>
  <CharactersWithSpaces>2222</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2019-04-10T02:43:00Z</dcterms:created>
  <dc:creator>meng su</dc:creator>
  <cp:lastModifiedBy>sunny</cp:lastModifiedBy>
  <cp:lastPrinted>2023-04-28T06:45:00Z</cp:lastPrinted>
  <dcterms:modified xsi:type="dcterms:W3CDTF">2025-04-15T02:33:23Z</dcterms:modified>
  <dc:title>农机购置补贴机具核验工作要点</dc:title>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FA1830F7DEC04595A791F9AB5D99BBEA</vt:lpwstr>
  </property>
  <property fmtid="{D5CDD505-2E9C-101B-9397-08002B2CF9AE}" pid="4" name="KSOTemplateDocerSaveRecord">
    <vt:lpwstr>eyJoZGlkIjoiYWRmYzU2ZWQ3NzY0OGIyMjJkY2M2ZDU2M2I0YzJhMWQiLCJ1c2VySWQiOiIzMDMxMzkzNjUifQ==</vt:lpwstr>
  </property>
</Properties>
</file>