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center"/>
        <w:rPr>
          <w:rFonts w:ascii="仿宋" w:hAnsi="仿宋" w:eastAsia="仿宋"/>
          <w:color w:val="000000"/>
          <w:sz w:val="32"/>
          <w:szCs w:val="32"/>
        </w:rPr>
      </w:pPr>
    </w:p>
    <w:p>
      <w:pPr>
        <w:spacing w:line="590" w:lineRule="exact"/>
        <w:jc w:val="both"/>
        <w:rPr>
          <w:rFonts w:ascii="仿宋" w:hAnsi="仿宋" w:eastAsia="仿宋"/>
          <w:color w:val="000000"/>
          <w:sz w:val="32"/>
          <w:szCs w:val="32"/>
        </w:rPr>
      </w:pPr>
    </w:p>
    <w:p>
      <w:pPr>
        <w:spacing w:line="590" w:lineRule="exact"/>
        <w:jc w:val="center"/>
        <w:rPr>
          <w:rFonts w:hint="eastAsia" w:ascii="方正小标宋_GBK" w:hAnsi="方正小标宋_GBK" w:eastAsia="方正小标宋_GBK" w:cs="方正小标宋_GBK"/>
          <w:sz w:val="44"/>
          <w:szCs w:val="44"/>
        </w:rPr>
      </w:pPr>
      <w:bookmarkStart w:id="0" w:name="_GoBack"/>
      <w:r>
        <w:rPr>
          <w:rFonts w:hint="eastAsia" w:ascii="方正小标宋_GBK" w:hAnsi="方正小标宋_GBK" w:eastAsia="方正小标宋_GBK" w:cs="方正小标宋_GBK"/>
          <w:sz w:val="44"/>
          <w:szCs w:val="44"/>
          <w:lang w:eastAsia="zh-CN"/>
        </w:rPr>
        <w:t>经开</w:t>
      </w:r>
      <w:r>
        <w:rPr>
          <w:rFonts w:hint="eastAsia" w:ascii="方正小标宋_GBK" w:hAnsi="方正小标宋_GBK" w:eastAsia="方正小标宋_GBK" w:cs="方正小标宋_GBK"/>
          <w:sz w:val="44"/>
          <w:szCs w:val="44"/>
        </w:rPr>
        <w:t>区农机购置补贴机具核验工作要点</w:t>
      </w:r>
    </w:p>
    <w:bookmarkEnd w:id="0"/>
    <w:p>
      <w:pPr>
        <w:spacing w:line="360" w:lineRule="auto"/>
        <w:rPr>
          <w:rFonts w:hint="eastAsia" w:ascii="仿宋" w:hAnsi="仿宋" w:eastAsia="仿宋"/>
          <w:sz w:val="32"/>
          <w:szCs w:val="32"/>
        </w:rPr>
      </w:pPr>
    </w:p>
    <w:p>
      <w:pPr>
        <w:spacing w:line="360"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各镇（街）农业农村（经济发展）办公室：</w:t>
      </w:r>
    </w:p>
    <w:p>
      <w:pPr>
        <w:spacing w:after="0" w:line="360" w:lineRule="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sz w:val="32"/>
          <w:szCs w:val="32"/>
        </w:rPr>
        <w:t>　　</w:t>
      </w:r>
      <w:r>
        <w:rPr>
          <w:rFonts w:hint="default" w:ascii="Times New Roman" w:hAnsi="Times New Roman" w:eastAsia="方正仿宋_GBK" w:cs="Times New Roman"/>
          <w:color w:val="000000"/>
          <w:sz w:val="32"/>
          <w:szCs w:val="32"/>
        </w:rPr>
        <w:t>加强农机购置补贴机具核验管理，是确保补贴资金安全和政策效益充分发挥的关键举措。为做好农机购置补贴机具核验工作，规范核验行为，防范管理风险，提高政策实施工作效率，进一步便民利民，根据</w:t>
      </w:r>
      <w:r>
        <w:rPr>
          <w:rFonts w:hint="default" w:ascii="Times New Roman" w:hAnsi="Times New Roman" w:eastAsia="方正仿宋_GBK" w:cs="Times New Roman"/>
          <w:sz w:val="32"/>
          <w:szCs w:val="32"/>
        </w:rPr>
        <w:t>省农业农村厅、省财政厅《关于印发&lt;2024-2026年江苏省农机购置与应用补贴实施意见&gt;的通知》(苏农机〔2024〕19号)文件要求</w:t>
      </w:r>
      <w:r>
        <w:rPr>
          <w:rFonts w:hint="default" w:ascii="Times New Roman" w:hAnsi="Times New Roman" w:eastAsia="方正仿宋_GBK" w:cs="Times New Roman"/>
          <w:color w:val="000000"/>
          <w:sz w:val="32"/>
          <w:szCs w:val="32"/>
        </w:rPr>
        <w:t>，制定工作要点如下。</w:t>
      </w:r>
    </w:p>
    <w:p>
      <w:pPr>
        <w:spacing w:after="0" w:line="360" w:lineRule="auto"/>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一、核验内容</w:t>
      </w:r>
    </w:p>
    <w:p>
      <w:pPr>
        <w:spacing w:after="0" w:line="360" w:lineRule="auto"/>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补贴机具核验是指区级和镇</w:t>
      </w:r>
      <w:r>
        <w:rPr>
          <w:rFonts w:hint="eastAsia" w:ascii="Times New Roman" w:hAnsi="Times New Roman" w:eastAsia="方正仿宋_GBK" w:cs="Times New Roman"/>
          <w:color w:val="000000"/>
          <w:sz w:val="32"/>
          <w:szCs w:val="32"/>
          <w:lang w:eastAsia="zh-CN"/>
        </w:rPr>
        <w:t>（街）</w:t>
      </w:r>
      <w:r>
        <w:rPr>
          <w:rFonts w:hint="default" w:ascii="Times New Roman" w:hAnsi="Times New Roman" w:eastAsia="方正仿宋_GBK" w:cs="Times New Roman"/>
          <w:color w:val="000000"/>
          <w:sz w:val="32"/>
          <w:szCs w:val="32"/>
        </w:rPr>
        <w:t>农业农村主管部门对从事农业生产的农户和农业生产经营组织（以下简称“购机者”）申报农机购置补贴时提供的相关资料进行形式审核、对机具进行核查的工作。核验的主要内容包括：</w:t>
      </w:r>
    </w:p>
    <w:p>
      <w:pPr>
        <w:spacing w:after="0" w:line="360" w:lineRule="auto"/>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（一）购机者身份信息。个人身份证件或农业生产经营组织工商营业执照（统一社会信用代码）及其法定代表人身份证件等信息。</w:t>
      </w:r>
    </w:p>
    <w:p>
      <w:pPr>
        <w:spacing w:after="0" w:line="360" w:lineRule="auto"/>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（二）购买信息。购买补贴机具税控发票等信息。</w:t>
      </w:r>
    </w:p>
    <w:p>
      <w:pPr>
        <w:spacing w:after="0" w:line="360" w:lineRule="auto"/>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（三）机具信息。机具实物上的固定铭牌信息、农机购置补贴辅助管理系统所对应机具的信息、牌证管理机具的行驶证信息等。</w:t>
      </w:r>
    </w:p>
    <w:p>
      <w:pPr>
        <w:spacing w:after="0" w:line="360" w:lineRule="auto"/>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（四）其他信息。购机者银行卡（折）账号、开户名等信息，以及政策实施要求提供的其他必要信息。</w:t>
      </w:r>
    </w:p>
    <w:p>
      <w:pPr>
        <w:spacing w:after="0" w:line="360" w:lineRule="auto"/>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上述信息的真实性、完整性和有效性由购机者、产销企业和农机安全监理机构分别负责，并承担相应的法律责任。   </w:t>
      </w:r>
    </w:p>
    <w:p>
      <w:pPr>
        <w:spacing w:after="0" w:line="360" w:lineRule="auto"/>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二、核验程序及要求</w:t>
      </w:r>
    </w:p>
    <w:p>
      <w:pPr>
        <w:spacing w:after="0" w:line="360" w:lineRule="auto"/>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（一）受理申请。对购机者自主提出的补贴申请，主管部门应按规定及时受理。鼓励通过手机APP、“一站式”服务窗口等便捷高效的方式受理申请。</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二）资料核验。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填写的银行卡（折）账号、开户名等信息与其携带的银行卡（折）所显示的账号、身份证件所显示的购机者姓名、工商营业执照所显示的农业生产经营组织名称一致性情况。三是购机价格真实性承诺。提示购机者确认购机税控发票上的购机金额与其实际全部支付给经销企业的资金要一致，以及隐瞒不报、提供虚假信息需承担的违规责任，提示购机者对购机价格的真实性签字确认。四是江苏省政策实施工作方案要求提供的其他资料。</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未通过核验的，应将所发现的问题一次性告知购机者，并说明完善方法。</w:t>
      </w:r>
    </w:p>
    <w:p>
      <w:pPr>
        <w:spacing w:line="560" w:lineRule="exact"/>
        <w:ind w:firstLine="645"/>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三）机具核验。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pPr>
        <w:spacing w:line="560" w:lineRule="exact"/>
        <w:ind w:firstLine="645"/>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w:t>
      </w:r>
      <w:r>
        <w:rPr>
          <w:rFonts w:hint="eastAsia" w:ascii="Times New Roman" w:hAnsi="Times New Roman" w:eastAsia="方正仿宋_GBK" w:cs="Times New Roman"/>
          <w:color w:val="000000"/>
          <w:sz w:val="32"/>
          <w:szCs w:val="32"/>
          <w:lang w:val="en-US" w:eastAsia="zh-CN"/>
        </w:rPr>
        <w:t xml:space="preserve"> </w:t>
      </w:r>
      <w:r>
        <w:rPr>
          <w:rFonts w:hint="default" w:ascii="Times New Roman" w:hAnsi="Times New Roman" w:eastAsia="方正仿宋_GBK" w:cs="Times New Roman"/>
          <w:color w:val="000000"/>
          <w:sz w:val="32"/>
          <w:szCs w:val="32"/>
        </w:rPr>
        <w:t>未通过核验的，应将所发现的问题一次性告知购机者，并说明完善方法。</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（四）复核登记。对资料核验、机具核验的程序、方式和签章的规范性进行集体复核，可与集体会商同步进行，通过后登记立册。</w:t>
      </w:r>
    </w:p>
    <w:p>
      <w:pPr>
        <w:pStyle w:val="9"/>
        <w:adjustRightInd w:val="0"/>
        <w:spacing w:line="560" w:lineRule="exact"/>
        <w:ind w:firstLine="64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（五）公示报送。</w:t>
      </w:r>
      <w:r>
        <w:rPr>
          <w:rFonts w:hint="default" w:ascii="Times New Roman" w:hAnsi="Times New Roman" w:eastAsia="方正仿宋_GBK" w:cs="Times New Roman"/>
          <w:kern w:val="0"/>
          <w:sz w:val="32"/>
          <w:szCs w:val="32"/>
        </w:rPr>
        <w:t>对通过复核的补贴申请信息进行为期不少于30天的公示，镇级公示时间为15天，区级公示时间为15天，公示无异议后报送同级财政部门。</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（六）资料处理。对财政部门未提出疑义的补贴申请，将其核验资料留存备用备查，留存期限不少于5年。</w:t>
      </w:r>
    </w:p>
    <w:p>
      <w:pPr>
        <w:spacing w:line="560" w:lineRule="exact"/>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三、监督管理</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二）推行购机承诺践诺。加强购机者补贴申请行为的自我约束和信用管理，实行补贴申请资料真实性、完整性和有效性的自主承诺，引导其规范参与补贴政策实施，主动报告所发现的问题，共同维护政策实施良好环境。</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级农机购置补贴领导小组研究决策。</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（四）严格监督管理。健全内部控制制度，以机具核验流程为主线，逐项工作、逐个环节查找风险点，制定防控措施。鼓励探索开展补贴机具第三方独立抽查核验和信息化技术核验。</w:t>
      </w:r>
    </w:p>
    <w:p>
      <w:pPr>
        <w:spacing w:line="56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FF0000"/>
          <w:sz w:val="32"/>
          <w:szCs w:val="32"/>
        </w:rPr>
        <w:t xml:space="preserve">    </w:t>
      </w:r>
    </w:p>
    <w:p>
      <w:pPr>
        <w:spacing w:line="220" w:lineRule="atLeast"/>
        <w:ind w:right="330"/>
        <w:jc w:val="center"/>
        <w:rPr>
          <w:rFonts w:hint="eastAsia" w:ascii="Times New Roman" w:hAnsi="Times New Roman" w:eastAsia="方正仿宋_GBK" w:cs="Times New Roman"/>
          <w:color w:val="000000"/>
          <w:sz w:val="32"/>
          <w:szCs w:val="32"/>
          <w:lang w:eastAsia="zh-CN"/>
        </w:rPr>
      </w:pPr>
      <w:r>
        <w:rPr>
          <w:rFonts w:hint="eastAsia" w:ascii="Times New Roman" w:hAnsi="Times New Roman" w:eastAsia="方正仿宋_GBK" w:cs="Times New Roman"/>
          <w:color w:val="000000"/>
          <w:sz w:val="32"/>
          <w:szCs w:val="32"/>
          <w:lang w:val="en-US" w:eastAsia="zh-CN"/>
        </w:rPr>
        <w:t xml:space="preserve">                                                                       </w:t>
      </w:r>
      <w:r>
        <w:rPr>
          <w:rFonts w:hint="eastAsia" w:ascii="Times New Roman" w:hAnsi="Times New Roman" w:eastAsia="方正仿宋_GBK" w:cs="Times New Roman"/>
          <w:color w:val="000000"/>
          <w:sz w:val="32"/>
          <w:szCs w:val="32"/>
          <w:lang w:eastAsia="zh-CN"/>
        </w:rPr>
        <w:t>经开区农水局</w:t>
      </w:r>
    </w:p>
    <w:p>
      <w:pPr>
        <w:spacing w:line="220" w:lineRule="atLeast"/>
        <w:ind w:right="330"/>
        <w:jc w:val="righ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2024年12月30日</w:t>
      </w:r>
    </w:p>
    <w:sectPr>
      <w:footerReference r:id="rId3" w:type="default"/>
      <w:footerReference r:id="rId4" w:type="even"/>
      <w:pgSz w:w="11906" w:h="16838"/>
      <w:pgMar w:top="1814" w:right="1361" w:bottom="1588" w:left="1588" w:header="851" w:footer="1531"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920" w:firstLineChars="1400"/>
      <w:jc w:val="both"/>
      <w:rPr>
        <w:sz w:val="28"/>
      </w:rPr>
    </w:pPr>
    <w:r>
      <w:rPr>
        <w:rStyle w:val="6"/>
        <w:rFonts w:hint="eastAsia"/>
        <w:sz w:val="28"/>
      </w:rPr>
      <w:t>－</w:t>
    </w:r>
    <w:r>
      <w:rPr>
        <w:rStyle w:val="6"/>
        <w:sz w:val="28"/>
      </w:rPr>
      <w:fldChar w:fldCharType="begin"/>
    </w:r>
    <w:r>
      <w:rPr>
        <w:rStyle w:val="6"/>
        <w:sz w:val="28"/>
      </w:rPr>
      <w:instrText xml:space="preserve"> PAGE </w:instrText>
    </w:r>
    <w:r>
      <w:rPr>
        <w:rStyle w:val="6"/>
        <w:sz w:val="28"/>
      </w:rPr>
      <w:fldChar w:fldCharType="separate"/>
    </w:r>
    <w:r>
      <w:rPr>
        <w:rStyle w:val="6"/>
        <w:sz w:val="28"/>
      </w:rPr>
      <w:t>4</w:t>
    </w:r>
    <w:r>
      <w:rPr>
        <w:rStyle w:val="6"/>
        <w:sz w:val="28"/>
      </w:rPr>
      <w:fldChar w:fldCharType="end"/>
    </w:r>
    <w:r>
      <w:rPr>
        <w:rStyle w:val="6"/>
        <w:rFonts w:hint="eastAsia"/>
        <w:sz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280" w:firstLineChars="100"/>
      <w:rPr>
        <w:sz w:val="28"/>
      </w:rPr>
    </w:pPr>
    <w:r>
      <w:rPr>
        <w:rStyle w:val="6"/>
        <w:rFonts w:hint="eastAsia"/>
        <w:sz w:val="28"/>
      </w:rPr>
      <w:t>－</w:t>
    </w:r>
    <w:r>
      <w:rPr>
        <w:rStyle w:val="6"/>
        <w:sz w:val="28"/>
      </w:rPr>
      <w:fldChar w:fldCharType="begin"/>
    </w:r>
    <w:r>
      <w:rPr>
        <w:rStyle w:val="6"/>
        <w:sz w:val="28"/>
      </w:rPr>
      <w:instrText xml:space="preserve"> PAGE </w:instrText>
    </w:r>
    <w:r>
      <w:rPr>
        <w:rStyle w:val="6"/>
        <w:sz w:val="28"/>
      </w:rPr>
      <w:fldChar w:fldCharType="separate"/>
    </w:r>
    <w:r>
      <w:rPr>
        <w:rStyle w:val="6"/>
        <w:sz w:val="28"/>
      </w:rPr>
      <w:t>42</w:t>
    </w:r>
    <w:r>
      <w:rPr>
        <w:rStyle w:val="6"/>
        <w:sz w:val="28"/>
      </w:rPr>
      <w:fldChar w:fldCharType="end"/>
    </w:r>
    <w:r>
      <w:rPr>
        <w:rStyle w:val="6"/>
        <w:rFonts w:hint="eastAsia"/>
        <w:sz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documentProtection w:enforcement="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0314C4"/>
    <w:rsid w:val="001317B1"/>
    <w:rsid w:val="001A08DC"/>
    <w:rsid w:val="00323B43"/>
    <w:rsid w:val="00367209"/>
    <w:rsid w:val="003D37D8"/>
    <w:rsid w:val="00426133"/>
    <w:rsid w:val="004358AB"/>
    <w:rsid w:val="00447FA2"/>
    <w:rsid w:val="004C3A80"/>
    <w:rsid w:val="0073240E"/>
    <w:rsid w:val="008007DB"/>
    <w:rsid w:val="008960F3"/>
    <w:rsid w:val="008B7726"/>
    <w:rsid w:val="0097702A"/>
    <w:rsid w:val="009C1419"/>
    <w:rsid w:val="00A30F92"/>
    <w:rsid w:val="00B42C86"/>
    <w:rsid w:val="00D170F1"/>
    <w:rsid w:val="00D31D50"/>
    <w:rsid w:val="00EA72FD"/>
    <w:rsid w:val="00F33779"/>
    <w:rsid w:val="00F57EF2"/>
    <w:rsid w:val="741941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uiPriority w:val="0"/>
    <w:pPr>
      <w:tabs>
        <w:tab w:val="center" w:pos="4153"/>
        <w:tab w:val="right" w:pos="8306"/>
      </w:tabs>
    </w:pPr>
    <w:rPr>
      <w:sz w:val="18"/>
      <w:szCs w:val="18"/>
    </w:rPr>
  </w:style>
  <w:style w:type="paragraph" w:styleId="3">
    <w:name w:val="header"/>
    <w:basedOn w:val="1"/>
    <w:link w:val="7"/>
    <w:semiHidden/>
    <w:unhideWhenUsed/>
    <w:uiPriority w:val="99"/>
    <w:pPr>
      <w:pBdr>
        <w:bottom w:val="single" w:color="auto" w:sz="6" w:space="1"/>
      </w:pBdr>
      <w:tabs>
        <w:tab w:val="center" w:pos="4153"/>
        <w:tab w:val="right" w:pos="8306"/>
      </w:tabs>
      <w:jc w:val="center"/>
    </w:pPr>
    <w:rPr>
      <w:sz w:val="18"/>
      <w:szCs w:val="18"/>
    </w:rPr>
  </w:style>
  <w:style w:type="character" w:styleId="6">
    <w:name w:val="page number"/>
    <w:basedOn w:val="5"/>
    <w:uiPriority w:val="0"/>
  </w:style>
  <w:style w:type="character" w:customStyle="1" w:styleId="7">
    <w:name w:val="页眉 Char"/>
    <w:basedOn w:val="5"/>
    <w:link w:val="3"/>
    <w:semiHidden/>
    <w:uiPriority w:val="99"/>
    <w:rPr>
      <w:rFonts w:ascii="Tahoma" w:hAnsi="Tahoma"/>
      <w:sz w:val="18"/>
      <w:szCs w:val="18"/>
    </w:rPr>
  </w:style>
  <w:style w:type="character" w:customStyle="1" w:styleId="8">
    <w:name w:val="页脚 Char"/>
    <w:basedOn w:val="5"/>
    <w:link w:val="2"/>
    <w:uiPriority w:val="0"/>
    <w:rPr>
      <w:rFonts w:ascii="Tahoma" w:hAnsi="Tahoma"/>
      <w:sz w:val="18"/>
      <w:szCs w:val="18"/>
    </w:rPr>
  </w:style>
  <w:style w:type="paragraph" w:customStyle="1" w:styleId="9">
    <w:name w:val="列出段落1"/>
    <w:basedOn w:val="1"/>
    <w:uiPriority w:val="0"/>
    <w:pPr>
      <w:widowControl w:val="0"/>
      <w:adjustRightInd/>
      <w:snapToGrid/>
      <w:spacing w:after="0"/>
      <w:ind w:firstLine="420" w:firstLineChars="200"/>
      <w:jc w:val="both"/>
    </w:pPr>
    <w:rPr>
      <w:rFonts w:ascii="Times New Roman" w:hAnsi="Times New Roman" w:eastAsia="宋体" w:cs="Times New Roman"/>
      <w:kern w:val="2"/>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343</Words>
  <Characters>1959</Characters>
  <Lines>16</Lines>
  <Paragraphs>4</Paragraphs>
  <TotalTime>42</TotalTime>
  <ScaleCrop>false</ScaleCrop>
  <LinksUpToDate>false</LinksUpToDate>
  <CharactersWithSpaces>2298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Administrator</cp:lastModifiedBy>
  <dcterms:modified xsi:type="dcterms:W3CDTF">2025-11-10T01:58:15Z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