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center"/>
        <w:rPr>
          <w:rFonts w:hint="eastAsia" w:ascii="方正小标宋简体" w:hAnsi="仿宋" w:eastAsia="方正小标宋简体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仿宋" w:eastAsia="方正小标宋简体"/>
          <w:sz w:val="44"/>
          <w:szCs w:val="44"/>
        </w:rPr>
        <w:t>江苏省农机购置补贴机具补贴额一览表</w:t>
      </w:r>
    </w:p>
    <w:p>
      <w:pPr>
        <w:widowControl/>
        <w:tabs>
          <w:tab w:val="left" w:pos="7655"/>
        </w:tabs>
        <w:spacing w:line="300" w:lineRule="exact"/>
        <w:ind w:firstLine="5280" w:firstLineChars="1650"/>
        <w:jc w:val="left"/>
        <w:rPr>
          <w:rFonts w:hint="eastAsia" w:ascii="仿宋" w:hAnsi="仿宋" w:eastAsia="仿宋" w:cs="宋体"/>
          <w:color w:val="000000"/>
          <w:kern w:val="0"/>
          <w:szCs w:val="32"/>
        </w:rPr>
      </w:pPr>
    </w:p>
    <w:tbl>
      <w:tblPr>
        <w:tblStyle w:val="18"/>
        <w:tblW w:w="11526" w:type="dxa"/>
        <w:jc w:val="center"/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425"/>
        <w:gridCol w:w="426"/>
        <w:gridCol w:w="1276"/>
        <w:gridCol w:w="1134"/>
        <w:gridCol w:w="1418"/>
        <w:gridCol w:w="2835"/>
        <w:gridCol w:w="2693"/>
        <w:gridCol w:w="850"/>
        <w:gridCol w:w="469"/>
      </w:tblGrid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tblHeader/>
          <w:jc w:val="center"/>
        </w:trPr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b/>
                <w:bCs/>
                <w:color w:val="000000"/>
                <w:kern w:val="0"/>
                <w:sz w:val="18"/>
                <w:szCs w:val="18"/>
              </w:rPr>
              <w:t>序号</w:t>
            </w:r>
          </w:p>
        </w:tc>
        <w:tc>
          <w:tcPr>
            <w:tcW w:w="4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b/>
                <w:bCs/>
                <w:color w:val="000000"/>
                <w:kern w:val="0"/>
                <w:sz w:val="18"/>
                <w:szCs w:val="18"/>
              </w:rPr>
              <w:t>小序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b/>
                <w:bCs/>
                <w:color w:val="000000"/>
                <w:kern w:val="0"/>
                <w:sz w:val="18"/>
                <w:szCs w:val="18"/>
              </w:rPr>
              <w:t>大类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b/>
                <w:bCs/>
                <w:color w:val="000000"/>
                <w:kern w:val="0"/>
                <w:sz w:val="18"/>
                <w:szCs w:val="18"/>
              </w:rPr>
              <w:t>小类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b/>
                <w:bCs/>
                <w:color w:val="000000"/>
                <w:kern w:val="0"/>
                <w:sz w:val="18"/>
                <w:szCs w:val="18"/>
              </w:rPr>
              <w:t>品目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b/>
                <w:bCs/>
                <w:color w:val="000000"/>
                <w:kern w:val="0"/>
                <w:sz w:val="18"/>
                <w:szCs w:val="18"/>
              </w:rPr>
              <w:t>分档名称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b/>
                <w:bCs/>
                <w:color w:val="000000"/>
                <w:kern w:val="0"/>
                <w:sz w:val="18"/>
                <w:szCs w:val="18"/>
              </w:rPr>
              <w:t>基本配置和参数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26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b/>
                <w:bCs/>
                <w:color w:val="000000"/>
                <w:kern w:val="0"/>
                <w:sz w:val="18"/>
                <w:szCs w:val="18"/>
              </w:rPr>
              <w:t>补贴额（元）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单轴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2000mm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单轴；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1500mm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≤耕幅＜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2000mm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900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单轴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2500mm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单轴；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2000mm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≤耕幅＜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2500mm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1900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单轴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2500mm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及以上旋耕机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单轴；耕幅≥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2500mm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2400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双轴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2000mm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双轴；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1500mm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≤耕幅＜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2000mm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1600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双轴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2500mm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双轴；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2000mm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≤耕幅＜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2500mm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双轴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2500mm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及以上旋耕机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双轴；耕幅≥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2500mm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3300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2000mm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履带自走式旋耕机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形式：履带自走式；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1200mm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≤耕幅＜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2000mm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8300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2000mm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及以上履带自走式旋耕机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形式：履带自走式；耕幅≥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2000mm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15100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栽植机械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水稻插秧机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行及以上手扶步进式水稻插秧机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简易型）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手扶步进式；以手扶或微耕机底盘为基础且无底盘升降等装置；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栽植机械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水稻插秧机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行手扶步进式水稻插秧机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手扶步进式；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3200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.3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栽植机械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水稻插秧机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行及以上手扶步进式水稻插秧机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手扶步进式；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栽植机械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水稻插秧机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行及以上独轮乘坐式水稻插秧机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独轮乘坐式；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栽植机械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水稻插秧机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行四轮乘坐式水稻插秧机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四轮乘坐式；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16800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栽植机械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水稻插秧机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行四轮乘坐式水稻插秧机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四轮乘坐式；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、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29000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栽植机械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水稻插秧机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行及以上四轮乘坐式水稻插秧机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四轮乘坐式；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38000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半喂入联合收割机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马力及以上半喂入联合收割机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收获行数：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行；喂入方式：半喂入；功率≥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14000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半喂入联合收割机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马力及以上半喂入联合收割机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收获行数≥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行；喂入方式：半喂入；功率≥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42000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8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自走履带式谷物联合收割机（全喂入）；包含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自走履带式水稻联合收割机（全喂入）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0.6kg/s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≤水稻机喂入量＜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；自走履带式；喂入方式：全喂入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90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自走履带式谷物联合收割机（全喂入）；包含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自走履带式水稻联合收割机（全喂入）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≤水稻机喂入量＜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；自走履带式；喂入方式：全喂入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90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自走履带式谷物联合收割机（全喂入）；包含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自走履带式水稻联合收割机（全喂入（收获打捆一体机）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≤水稻机喂入量＜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；自走履带式；喂入方式：全喂入（收获打捆一体机）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</w:p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90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自走履带式谷物联合收割机（全喂入）；包含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自走履带式水稻联合收割机（全喂入）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≤水稻机喂入量＜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；自走履带式；喂入方式：全喂入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9000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90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自走履带式谷物联合收割机（全喂入）；包含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自走履带式水稻联合收割机（全喂入）（收获打捆一体机）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≤水稻机喂入量＜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；自走履带式；喂入方式：全喂入（收获打捆一体机）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11000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90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自走履带式谷物联合收割机（全喂入）；包含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自走履带式水稻联合收割机（全喂入）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≤水稻机喂入量＜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；自走履带式；喂入方式：全喂入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12000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891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自走履带式谷物联合收割机（全喂入）；包含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自走履带式水稻联合收割机（全喂入）（收获打捆一体机）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≤水稻机喂入量＜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；自走履带式；喂入方式：全喂入（收获打捆一体机）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14000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90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自走履带式谷物联合收割机（全喂入）；包含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4kg/s-5 kg/s 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自走履带式水稻联合收割机（全喂入）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≤水稻机喂入量＜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；自走履带式；喂入方式：全喂入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90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自走履带式谷物联合收割机（全喂入）；包含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4kg/s-5 kg/s 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自走履带式水稻联合收割机（全喂入）（收获打捆一体机）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≤水稻机喂入量＜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；自走履带式；喂入方式：全喂入（收获打捆一体机）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18000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4kg/s-5 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自走履带式谷物联合收割机（全喂入）；包含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5kg/s-6 kg/s 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自走履带式水稻联合收割机（全喂入）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≤水稻机喂入量＜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；自走履带式；喂入方式：全喂入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19000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4kg/s-5 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自走履带式谷物联合收割机（全喂入）；包含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5kg/s-6 kg/s 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自走履带式水稻联合收割机（全喂入）（收获打捆一体机）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≤水稻机喂入量＜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；自走履带式；喂入方式：全喂入（收获打捆一体机）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22000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 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及以上自走履带式谷物联合收割机（全喂入）；包含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 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及以上自走履带式水稻联合收割机（全喂入）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喂入量≥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，水稻机喂入量≥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；自走履带式；喂入方式：全喂入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</w:p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23000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 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及以上自走履带式谷物联合收割机（全喂入）；包含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 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及以上自走履带式水稻联合收割机（全喂入）（收获打捆一体机）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喂入量≥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，水稻机喂入量≥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；自走履带式；喂入方式：全喂入（收获打捆一体机）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25000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自走轮式谷物联合收割机（全喂入）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；自走轮式；喂入方式：全喂入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自走轮式谷物联合收割机（全喂入）（收获打捆一体机）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；自走轮式；喂入方式：全喂入（收获打捆一体机）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自走轮式谷物联合收割机（全喂入）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；自走轮式；喂入方式：全喂入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自走轮式谷物联合收割机（全喂入）（收获打捆一体机）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；自走轮式；喂入方式：全喂入（收获打捆一体机）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12000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自走轮式谷物联合收割机（全喂入）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；自走轮式；喂入方式：全喂入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11000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自走轮式谷物联合收割机（全喂入）（收获打捆一体机）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；自走轮式；喂入方式：全喂入（收获打捆一体机）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13000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自走轮式谷物联合收割机（全喂入）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；自走轮式；喂入方式：全喂入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24000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自走轮式谷物联合收割机（全喂入）（收获打捆一体机）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；自走轮式；喂入方式：全喂入（收获打捆一体机）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26000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自走轮式谷物联合收割机（全喂入）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；自走轮式；喂入方式：全喂入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27000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自走轮式谷物联合收割机（全喂入）（收获打捆一体机）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；自走轮式；喂入方式：全喂入（收获打捆一体机）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29000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及以上自走轮式谷物联合收割机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喂入量≥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；自走轮式；喂入方式：全喂入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33000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谷物收获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及以上自走轮式谷物联合收割机（收获打捆一体机）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喂入量≥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；自走轮式；喂入方式：全喂入（收获打捆一体机）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35000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玉米收获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自走式玉米收获机（含穗茎兼收玉米收获机）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行摘穗型自走式玉米收获机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行割台；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≤幅宽＜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1.6m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；形式：自走式（摘穗型）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玉米收获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自走式玉米收获机（含穗茎兼收玉米收获机）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行摘穗型自走式玉米收获机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行割台；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1.6m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≤幅宽＜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2.2m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；形式：自走式（摘穗型）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28000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玉米收获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自走式玉米收获机（含穗茎兼收玉米收获机）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行摘穗型自走式玉米收获机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行割台；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2.2m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≤幅宽＜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2.8m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；形式：自走式（摘穗型）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35000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玉米收获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自走式玉米收获机（含穗茎兼收玉米收获机）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行及以上摘穗型自走式玉米收获机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行及以上割台；幅宽≥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2.8m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；形式：自走式（摘穗型）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42000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玉米收获机械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自走式玉米收获机（含穗茎兼收玉米收获机）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行摘穗剥皮型自走式玉米收获机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行割台；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≤幅宽＜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1.6m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；形式：自走式（摘穗剥皮型）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21000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玉米收获机械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自走式玉米收获机（含穗茎兼收玉米收获机）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行摘穗剥皮型自走式玉米收获机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行割台；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1.6m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≤幅宽＜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2.2m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；形式：自走式（摘穗剥皮型）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39000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玉米收获机械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自走式玉米收获机（含穗茎兼收玉米收获机）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行摘穗剥皮型自走式玉米收获机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行割台；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2.2m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≤幅宽＜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2.8m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；形式：自走式（摘穗剥皮型）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43000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玉米收获机械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自走式玉米收获机（含穗茎兼收玉米收获机）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行及以上摘穗剥皮型自走式玉米收获机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行及以上割台；幅宽≥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2.8m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；形式：自走式（摘穗剥皮型）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45000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玉米收获机械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自走式玉米籽粒联合收获机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行及以下自走式玉米籽粒联合收获机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行及以下割台；幅宽＜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2.2m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；形式：自走式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18000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玉米收获机械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自走式玉米籽粒联合收获机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行自走式玉米籽粒联合收获机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行割台；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2.2m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≤幅宽＜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2.8m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；形式：自走式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30000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7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玉米收获机械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自走式玉米籽粒联合收获机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行及以上自走式玉米籽粒联合收获机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行及以上割台；幅宽≥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2.8m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；形式：自走式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34000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马力两轮驱动拖拉机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马力；驱动方式：两轮驱动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3800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马力两轮驱动拖拉机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马力；驱动方式：两轮驱动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5300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马力两轮驱动拖拉机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马力；驱动方式：两轮驱动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6200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马力两轮驱动拖拉机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马力；驱动方式：两轮驱动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7800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马力两轮驱动拖拉机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马力；驱动方式：两轮驱动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9500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马力两轮驱动拖拉机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马力；驱动方式：两轮驱动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12500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马力两轮驱动拖拉机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马力；驱动方式：两轮驱动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马力两轮驱动拖拉机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马力；驱动方式：两轮驱动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18000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马力及以上两轮驱动拖拉机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马力；驱动方式：两轮驱动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22000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</w:p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4000</w:t>
            </w:r>
          </w:p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7500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12300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16000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22000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27000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马力四轮驱动拖拉机（动力换档或动力换向）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马力；驱动方式：四轮驱动（动力换档或动力换向）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29000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</w:p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30000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马力四轮驱动拖拉机（动力换档或动力换向）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马力；驱动方式：四轮驱动（动力换档或动力换向）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33000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</w:p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38000</w:t>
            </w:r>
          </w:p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马力四轮驱动拖拉机（动力换档或动力换向）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马力；驱动方式：四轮驱动（动力换档或动力换向）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43000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50000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马力四轮驱动拖拉机（动力换档或动力换向）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马力；驱动方式：四轮驱动（动力换档或动力换向）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55000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58000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马力四轮驱动拖拉机（动力换档或动力换向）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马力；驱动方式：四轮驱动（动力换档或动力换向）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62000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64000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马力四轮驱动拖拉机（动力换档或动力换向）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马力；驱动方式：四轮驱动（动力换档或动力换向）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68000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29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马力及以上四轮驱动拖拉机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95000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马力及以上四轮驱动拖拉机（动力换档或动力换向）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马力；驱动方式：四轮驱动（动力换档或动力换向）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喷杆喷雾机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以下悬挂及牵引式喷杆喷雾机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喷幅＜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；形式：悬挂及牵引式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900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喷杆喷雾机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悬挂及牵引式喷杆喷雾机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≤喷幅＜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；形式：悬挂及牵引式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2200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喷杆喷雾机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及以上悬挂及牵引式喷杆喷雾机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喷幅≥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；形式：悬挂及牵引式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喷杆喷雾机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马力以下自走式喷杆喷雾机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马力；形式：自走式，四轮驱动、四轮转向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喷杆喷雾机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马力自走式喷杆喷雾机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马力；自走式，四轮驱动、四轮转向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喷杆喷雾机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50-100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马力自走式喷杆喷雾机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马力；自走式，四轮驱动、四轮转向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24000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喷杆喷雾机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马力及以上自走式喷杆喷雾机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马力；自走式，四轮驱动、四轮转向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24000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动力喷雾机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动力喷雾机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290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动力喷雾机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自走式喷雾机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自走式喷雾机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深松机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铲及以下深松机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深松部件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个及以下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1170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深松机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铲深松机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深松部件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个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1800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深松机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铲及以上深松机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深松部件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个及以上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2400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83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深松机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铲及以下振动式深松机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振动式；深松部件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个及以下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2800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83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深松机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铲振动式深松机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振动式；深松部件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个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83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深松机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铲及以上振动式深松机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振动式；深松部件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个及以上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中耕机械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田园管理机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功率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以下田园管理机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配套功率＜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中耕机械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田园管理机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功率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及以上田园管理机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配套功率≥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条播机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行条播机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行≤播种行数≤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条播机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行条播机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行≤播种行数≤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1200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条播机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行条播机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行≤播种行数≤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条播机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行及以上条播机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播种行数≥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小粒种子播种机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普通小粒种子播种机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普通排种器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480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小粒种子播种机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行气力式小粒种子播种机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行≤播种行数≤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行；施肥、播种等复式作业；排种器：气力式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小粒种子播种机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行及以上气力式小粒种子播种机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播种行数≥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行；施肥、播种等复式作业；排种器：气力式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穴播机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普通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行穴播机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普通排种器；播种行数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、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穴播机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普通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行穴播机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普通排种器；播种行数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、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穴播机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普通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行及以上穴播机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普通排种器；播种行数≥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2200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397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穴播机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精量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行穴播机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精量排种器；播种行数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、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1300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27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穴播机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精量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行穴播机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精量排种器；播种行数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、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2200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27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穴播机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精量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行穴播机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精量排种器；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行≤播种行数≤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34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穴播机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精量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行及以上穴播机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精量排种器；播种行数≥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596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育苗机械设备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秧盘播种成套设备（含床土处理）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生产率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500(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盘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/h)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秧盘播种成套设备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含铺底土、播种、洒水、覆土功能；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200(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盘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/h)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≤生产率＜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500(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盘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/h)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1900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78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育苗机械设备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秧盘播种成套设备（含床土处理）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生产率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500(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盘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/h)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及以上秧盘播种成套设备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含铺底土、播种、洒水、覆土功能；生产率≥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500(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盘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/h)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3400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育苗机械设备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秧盘播种成套设备（含床土处理）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床土处理设备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17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茎秆收集处理机械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秸秆粉碎还田机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秸秆粉碎还田机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≤作业幅宽＜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1900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17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茎秆收集处理机械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秸秆粉碎还田机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2.5m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秸秆粉碎还田机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≤作业幅宽＜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2.5m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2200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17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茎秆收集处理机械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秸秆粉碎还田机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2.5m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及以上秸秆粉碎还田机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作业幅宽≥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2.5m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135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饲料作物收获机械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打（压）捆机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0.7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1.2m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捡拾压捆机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0.7m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≤捡拾宽度＜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1.2m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7600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饲料作物收获机械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打（压）捆机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1.2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1.7m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捡拾压捆机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1.2m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≤捡拾宽度＜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1.7m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18400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饲料作物收获机械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打（压）捆机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1.7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2.2m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捡拾压捆机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1.7m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≤捡拾宽度＜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2.2m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27000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饲料作物收获机械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打（压）捆机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2.2m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及以上捡拾压捆机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捡拾宽度≥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2.2m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40000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饲料作物收获机械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打（压）捆机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1.7m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及以上自走式捡拾压捆机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捡拾宽度≥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1.7m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；形式：自走式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饲料作物收获机械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打（压）捆机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及以上圆捆压捆机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圆捆；功率≥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7000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饲料作物收获机械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打（压）捆机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7.5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方捆压捆机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方捆；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7.5kW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2800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饲料作物收获机械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打（压）捆机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及以上方捆压捆机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方捆；功率≥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12000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0.6kg/s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；自走履带式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；自走履带式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；自走履带式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9000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；自走履带式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12000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；自走履带式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；自走履带式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19000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及以上自走履带式油菜籽收获机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喂入量≥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；自走履带式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23000</w:t>
            </w:r>
          </w:p>
        </w:tc>
        <w:tc>
          <w:tcPr>
            <w:tcW w:w="469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；自走轮式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；自走轮式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；自走轮式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11000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；自走轮式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24000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自走轮式油菜籽收获机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≤喂入量＜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；自走轮式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27000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及以上自走轮式油菜籽收获机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喂入量≥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7kg/s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；自走轮式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33000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收获后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处理机械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干燥机械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粮食烘干机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批处理量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10t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循环式粮食烘干机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4t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≤批处理量＜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10t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；循环式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收获后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处理机械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干燥机械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粮食烘干机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批处理量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20t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循环式粮食烘干机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10t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≤批处理量＜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20t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；循环式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28000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收获后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处理机械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干燥机械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粮食烘干机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批处理量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30t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循环式粮食烘干机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20t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≤批处理量＜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30t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；循环式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35000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收获后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处理机械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干燥机械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粮食烘干机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批处理量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30t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及以上循环式粮食烘干机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批处理量≥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30t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；循环式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45000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排灌机械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水泵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离心泵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5.5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22kW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离心泵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离心泵；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5.5kW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≤配套功率＜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22kW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；机座；底阀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360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排灌机械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水泵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离心泵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22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55kW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离心泵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离心泵；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22kW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≤配套功率＜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55kW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；机座；底阀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1300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排灌机械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水泵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离心泵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110kW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离心泵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离心泵；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55kW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≤配套功率＜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110kW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；机座；底阀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排灌机械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水泵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离心泵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110kW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及以上离心泵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离心泵；配套功率≥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110kW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；机座；底阀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1900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737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22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水产机械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水产养殖机械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增氧机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微孔曝气式增氧机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曝气式增氧机；功率≥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；气泵和配套电机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套，通气总管（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PVC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）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+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微孔增氧管≥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23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整地机械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起垄机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起垄机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≤作业幅宽＜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23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整地机械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起垄机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起垄机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≤作业幅宽＜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1300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23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整地机械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起垄机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及以上起垄机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作业幅宽≥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开沟机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开沟深度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50cm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以下配套轮式拖拉机开沟机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配套轮式拖拉机；开沟深度＜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50cm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1300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51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开沟机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开沟深度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50cm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及以上配套轮式拖拉机开沟机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配套轮式拖拉机；开沟深度≥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50cm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51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其它育苗机械设备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蘑菇灭菌器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容积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20-45m3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；功率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20m3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≤容积＜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45m3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51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其它育苗机械设备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蘑菇灭菌器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容积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45-60m3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；功率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45m3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≤容积≤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60m3 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28000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34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其它育苗机械设备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蘑菇灭菌器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容积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60m3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以上；功率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容积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&gt;60m3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55000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简易保鲜储藏设备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独立库容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³以下简易保鲜储藏设备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独立库容＜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³；每立方米功率≥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0.05KW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80</w:t>
            </w:r>
            <w:r>
              <w:rPr>
                <w:rFonts w:hint="eastAsia" w:ascii="宋体" w:hAnsi="宋体"/>
                <w:b/>
                <w:color w:val="000000"/>
                <w:kern w:val="0"/>
                <w:sz w:val="18"/>
                <w:szCs w:val="18"/>
              </w:rPr>
              <w:t>元</w:t>
            </w: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/m</w:t>
            </w:r>
            <w:r>
              <w:rPr>
                <w:rFonts w:hint="eastAsia" w:ascii="宋体" w:hAnsi="宋体"/>
                <w:b/>
                <w:color w:val="000000"/>
                <w:kern w:val="0"/>
                <w:sz w:val="18"/>
                <w:szCs w:val="18"/>
              </w:rPr>
              <w:t>³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简易保鲜储藏设备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独立库容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³简易保鲜储藏设备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³≤独立库容＜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³；每立方米功率≥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0.05KW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80</w:t>
            </w:r>
            <w:r>
              <w:rPr>
                <w:rFonts w:hint="eastAsia" w:ascii="宋体" w:hAnsi="宋体"/>
                <w:b/>
                <w:color w:val="000000"/>
                <w:kern w:val="0"/>
                <w:sz w:val="18"/>
                <w:szCs w:val="18"/>
              </w:rPr>
              <w:t>元</w:t>
            </w: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/m</w:t>
            </w:r>
            <w:r>
              <w:rPr>
                <w:rFonts w:hint="eastAsia" w:ascii="宋体" w:hAnsi="宋体"/>
                <w:b/>
                <w:color w:val="000000"/>
                <w:kern w:val="0"/>
                <w:sz w:val="18"/>
                <w:szCs w:val="18"/>
              </w:rPr>
              <w:t>³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简易保鲜储藏设备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独立库容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³简易保鲜储藏设备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³≤独立库容＜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³；每立方米功率≥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0.032KW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60</w:t>
            </w:r>
            <w:r>
              <w:rPr>
                <w:rFonts w:hint="eastAsia" w:ascii="宋体" w:hAnsi="宋体"/>
                <w:b/>
                <w:color w:val="000000"/>
                <w:kern w:val="0"/>
                <w:sz w:val="18"/>
                <w:szCs w:val="18"/>
              </w:rPr>
              <w:t>元</w:t>
            </w: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/m</w:t>
            </w:r>
            <w:r>
              <w:rPr>
                <w:rFonts w:hint="eastAsia" w:ascii="宋体" w:hAnsi="宋体"/>
                <w:b/>
                <w:color w:val="000000"/>
                <w:kern w:val="0"/>
                <w:sz w:val="18"/>
                <w:szCs w:val="18"/>
              </w:rPr>
              <w:t>³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简易保鲜储藏设备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独立库容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400m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³简易保鲜储藏设备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³≤独立库容＜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400m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³；每立方米功率≥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0.025KW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40</w:t>
            </w:r>
            <w:r>
              <w:rPr>
                <w:rFonts w:hint="eastAsia" w:ascii="宋体" w:hAnsi="宋体"/>
                <w:b/>
                <w:color w:val="000000"/>
                <w:kern w:val="0"/>
                <w:sz w:val="18"/>
                <w:szCs w:val="18"/>
              </w:rPr>
              <w:t>元</w:t>
            </w: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/m</w:t>
            </w:r>
            <w:r>
              <w:rPr>
                <w:rFonts w:hint="eastAsia" w:ascii="宋体" w:hAnsi="宋体"/>
                <w:b/>
                <w:color w:val="000000"/>
                <w:kern w:val="0"/>
                <w:sz w:val="18"/>
                <w:szCs w:val="18"/>
              </w:rPr>
              <w:t>³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简易保鲜储藏设备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独立库容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400m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³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-1000m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³简易保鲜储藏设备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400m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³≤独立库容＜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1000m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³；每立方米功率≥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0.025KW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40</w:t>
            </w:r>
            <w:r>
              <w:rPr>
                <w:rFonts w:hint="eastAsia" w:ascii="宋体" w:hAnsi="宋体"/>
                <w:b/>
                <w:color w:val="000000"/>
                <w:kern w:val="0"/>
                <w:sz w:val="18"/>
                <w:szCs w:val="18"/>
              </w:rPr>
              <w:t>元</w:t>
            </w: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/m</w:t>
            </w:r>
            <w:r>
              <w:rPr>
                <w:rFonts w:hint="eastAsia" w:ascii="宋体" w:hAnsi="宋体"/>
                <w:b/>
                <w:color w:val="000000"/>
                <w:kern w:val="0"/>
                <w:sz w:val="18"/>
                <w:szCs w:val="18"/>
              </w:rPr>
              <w:t>³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90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27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风送式喷雾机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药箱容积≥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300L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，喷幅≥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，自走式（不含三轮机型和以四轮拖拉机、变型运输车辆等底盘为基础的自走式机型）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自走式，药箱容积≥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300L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，喷幅≥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（不含三轮机型和以四轮拖拉机、变型运输车辆等底盘为基础的自走式机型）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83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27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风送喷雾机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其它自走风送式喷雾机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其它自走风送式喷雾机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4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27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风送式喷雾机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药箱容积≥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300L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，喷幅半径≥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，牵引式、车载式等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药箱容积≥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300L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，喷幅半径≥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，牵引式、车载式等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农田基本建设机械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平地机械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激光平地机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幅宽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2-3m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激光平地机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≤幅宽＜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12000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农田基本建设机械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平地机械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激光平地机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幅宽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及以上激光平地机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幅宽≥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13500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饲料作物收获机械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乘坐式割草机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功率大于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且作业幅宽大于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90CM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的乘坐式割草机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形式：乘坐式；功率≥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；作业幅宽≥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90CM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农用搬运机械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装卸机械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抓草机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功率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18-30KW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抓草机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农用搬运机械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装卸机械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抓草机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功率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30-40KW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抓草机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农用搬运机械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装卸机械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抓草机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功率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40-55KW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抓草机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55KW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畜牧机械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饲养机械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固液分离机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电机总功率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以下固液分离机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电机总功率＜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2600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畜牧机械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饲养机械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固液分离机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电机总功率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5-10kW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固液分离机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≤电机总功率＜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畜牧机械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饲养机械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固液分离机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电机总功率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及以上固液分离机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电机总功率≥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4200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27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32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施肥机械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撒肥机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肥箱容积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500L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及以上摆动式撒肥机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形式：摆动式；肥箱容积≥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500L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3600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32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施肥机械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撒肥机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肥箱容积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200L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及以上的其他撒肥机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肥箱容积≥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200L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33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施肥机械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水稻侧深施肥装置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气吹式、气体强制输送装置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气吹式、气体强制输送装置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3600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7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33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施肥机械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水稻侧深施肥装置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非气吹式、非气体强制输送装置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非气吹式、非气体强制输送装置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84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水产机械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水产养殖机械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水产养殖环境监控与管理设备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水产养殖环境智能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/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成套监控管理设备（具有测量水温、溶氧等功能）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水产养殖环境智能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/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成套监控管理设备（具有测量水温、溶氧等功能）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700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68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水产机械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水产养殖机械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水产养殖环境监控与管理设备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水产养殖环境智能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/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成套监控管理设备（具有测量水温、溶氧、电导等功能）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水产养殖环境智能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/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成套监控管理设备（具有测量水温、溶氧、电导等功能）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1200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4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农业废弃物利用处理设备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废弃物处理设备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秸秆压块（粒、棒）机（含移动式）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生产率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0.5-1T/H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0.5T/H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≤生产率＜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1T/H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4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农业废弃物利用处理设备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废弃物处理设备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秸秆压块（粒、棒）机（含移动式）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生产率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1-2T/H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1T/H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≤生产率＜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2T/H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4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农业废弃物利用处理设备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废弃物处理设备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秸秆压块（粒、棒）机（含移动式）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生产率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2T/H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生产率≥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2T/H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农用搬运机械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运输机械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田园搬运机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功率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及以上自走履带式田园搬运机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不带液压自卸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农用搬运机械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运输机械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田园搬运机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功率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3.6kW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至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4.1KW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自走履带式田园搬运机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 (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液压自卸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3.6KW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4.1KW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自走履带式；液压自卸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农用搬运机械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运输机械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田园搬运机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功率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4.1kW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及以上自走履带式田园搬运机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 (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液压自卸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4.1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自走履带式；液压自卸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9000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37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整地机械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筑埂机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筑埂高度大于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25cm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且配套动力大于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36.7KW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的筑埂机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筑埂高≥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25cm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；配套动力≥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36.7KW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4400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栽植机械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秧苗移栽机（含水稻钵苗移栽机等）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1-3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行自走式或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行及以上牵引式、悬挂式秧苗移栽机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1-3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行自走式；或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行及以上牵引式、悬挂式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84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栽植机械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秧苗移栽机（含水稻钵苗移栽机等）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行及以上自走式秧苗移栽机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形式：自走式；行数≥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9000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84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栽植机械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秧苗移栽机（含水稻钵苗移栽机等）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行四轮乘坐式水稻钵苗移栽机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四轮乘坐式；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、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29000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284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栽植机械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秧苗移栽机（含水稻钵苗移栽机等）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行四轮乘坐式水稻钵苗移栽机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四轮乘坐式；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38000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其他田间管理机械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茶园防霜机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功率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2.4KW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以上茶园防霜机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电机功率≥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2.4KW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根茎作物收获机械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花生收获机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与四轮拖拉机配套，幅宽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0.8-1.5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米花生收获机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配套四轮拖拉机，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0.8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米≤幅宽＜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米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根茎作物收获机械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花生收获机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与四轮拖拉机配套，幅宽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米及以上花生收获机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配套四轮拖拉机，幅宽≥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米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1800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根茎作物收获机械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花生收获机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联合收获机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含挖掘、分离、摘果、集箱等功能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22000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收获后处理机械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脱粒机械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花生摘果机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配套动力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3-7kw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≤配套动力＜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收获后处理机械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脱粒机械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花生摘果机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配套动力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配套动力≥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42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农业废弃物利用处理设备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废弃物处理设备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翻抛机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有机肥翻抛机；配套动力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有机肥翻抛机；配套动力≥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42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农业废弃物利用处理设备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废弃物处理设备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翻抛机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自走履带式；功率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60000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42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农业废弃物利用处理设备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废弃物处理设备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翻抛机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自走履带式；功率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自走履带式；功率≥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80000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43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铧式犁（翻转犁）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单体幅宽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35cm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及以上，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铧翻转犁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单体幅宽≥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35cm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；铧体个数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铧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2400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43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铧式犁（翻转犁）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单体幅宽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35cm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及以上，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铧翻转犁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单体幅宽≥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35cm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；铧体个数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铧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3200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43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铧式犁（翻转犁）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单体幅宽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35cm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及以上，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铧及以上翻转犁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单体幅宽≥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35cm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；铧体个数≥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铧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旋耕播种机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行旋耕施肥播种机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行≤播种行数≤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行（含旋耕、施肥、播种功能）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旋耕播种机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行旋耕施肥播种机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行≤播种行数≤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24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行（耕幅≥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2800mm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，含旋耕、施肥、播种功能）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旋耕播种机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行及以上旋耕施肥播种机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播种行数≥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行（耕幅≥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3500mm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，含旋耕、施肥、播种功能）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设施农业设备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温室大棚设备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热风炉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热泵热风炉（配套粮食烘干机）；额定功率；制热量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额定功率≥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；制热量≥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设施农业设备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温室大棚设备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热风炉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生物质热风炉；热功率；换热效率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300000kcal/h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≤热功率＜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450000kcal/h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，换热效率≥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80%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，配备送料和温控装置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设施农业设备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温室大棚设备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热风炉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生物质热风炉；热功率；换热效率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450000kcal/h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≤热功率＜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750000kcal/h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，换热效率≥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80%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，配备送料和温控装置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14000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设施农业设备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温室大棚设备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热风炉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生物质热风炉；热功率；换热效率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热功率≥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750000kcal/h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，换热效率≥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80%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，配备送料和温控装置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18000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农业用北斗终端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电动方向盘，直线精度±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10cm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的北斗导航辅助驾驶系统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电动方向盘，北斗导航辅助驾驶系统，直线精度±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10cm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农业用北斗终端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液压控制转向机，直线精度±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2.5cm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的北斗导航自动驾驶系统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液压控制转向机，北斗导航自动驾驶系统，直线精度±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2.5cm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34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47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整地机械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圆盘耙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圆盘耙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≤作业幅宽＜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900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34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47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整地机械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圆盘耙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3.5m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圆盘耙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≤作业幅宽＜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3.5m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34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47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整地机械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圆盘耙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3.5m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及以上圆盘耙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作业幅宽≥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3.5m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2900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48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农业废弃物利用处理设备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废弃物处理设备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有机肥加工成套设备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配套功率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及以上、生产率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0.8t/h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配套功率≥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、生产率≥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0.8t/h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；包括输送带、粉碎机、混合机、制粒机、装袋机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34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沼气发电机组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15-50kW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的沼气发电机组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 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≤额定功率＜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34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49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沼气发电机组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50kW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及以上的沼气发电机组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额定功率≥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50kW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育苗机械设备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自走式秧田育秧播种机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生产率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500(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盘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/h)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及以上自走式秧田育秧播种机（单盘播种）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生产率≥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500(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盘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/h)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含铺底土、播种、覆土功能；单盘播种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育苗机械设备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自走式秧田育秧播种机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生产率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800(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盘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/h)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及以上自走式秧田育秧播种机（双盘播种）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生产率≥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800(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盘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/h)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含铺底土、播种、覆土功能；双盘播种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根茎作物收获机械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薯类收获机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0.7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分段式薯类收获机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分段收获；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0.7m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≤作业幅宽＜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根茎作物收获机械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薯类收获机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分段式薯类收获机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分段收获；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≤作业幅宽＜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根茎作物收获机械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薯类收获机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及以上分段式薯类收获机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分段收获；作业幅宽≥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51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根茎作物收获机械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薯类收获机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薯类联合收获机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联合收获，包含挖掘、抖土、分离、集装等功能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52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水稻直播机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行及以上牵引或悬挂式水稻直播机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作业行数≥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行；形式：悬挂式、牵引式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52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水稻直播机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行及以上自走四轮乘坐式水稻直播机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作业行数≥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行；形式：自走四轮乘坐式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81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53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养蜂设备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养蜂平台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适用蜂箱数量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个及以上的养蜂平台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适用蜂箱数量≥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个；含蜂箱保湿和蜜蜂饲喂装置、电动摇浆机、电动取浆器、花粉干燥箱</w:t>
            </w:r>
          </w:p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7000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农业废弃物利用处理设备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废弃物处理设备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病死畜禽无害化处理设备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有效容积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0.5m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³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-2m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³病死畜禽无害化处理设备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0.5m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³≤有效容积＜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³，配备尾气处理装置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7000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54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农业废弃物利用处理设备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废弃物处理设备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病死畜禽无害化处理设备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有效容积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³及以上病死畜禽无害化处理设备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有效容积≥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³，配备尾气处理装置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12000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55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田园管理机械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修剪机械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茶树修剪机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双人平行式茶树修剪机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自带动力；双人操作；作业幅宽≥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1800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农产品初加工机械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茶叶加工机械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茶叶杀青机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滚筒直径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—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60cm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杀青机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30cm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≤滚筒直径＜6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0cm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农产品初加工机械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茶叶加工机械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茶叶杀青机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滚筒直径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60cm</w:t>
            </w: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及以上杀青机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滚筒直径≥</w:t>
            </w: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60cm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农产品初加工机械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茶叶加工机械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茶叶杀青机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燃气式杀青机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燃气式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</w:t>
            </w:r>
          </w:p>
        </w:tc>
      </w:tr>
      <w:tr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469" w:type="dxa"/>
          <w:trHeight w:val="450" w:hRule="atLeast"/>
          <w:jc w:val="center"/>
        </w:trPr>
        <w:tc>
          <w:tcPr>
            <w:tcW w:w="4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56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农产品初加工机械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茶叶加工机械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茶叶杀青机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其它杀青机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kern w:val="0"/>
                <w:sz w:val="18"/>
                <w:szCs w:val="18"/>
              </w:rPr>
              <w:t>杀青方式：蒸汽、微波、电磁、高温热风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2500</w:t>
            </w:r>
          </w:p>
        </w:tc>
      </w:tr>
    </w:tbl>
    <w:p>
      <w:pPr>
        <w:jc w:val="left"/>
        <w:rPr>
          <w:rFonts w:hint="eastAsia" w:ascii="宋体" w:hAnsi="宋体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EA2025"/>
    <w:multiLevelType w:val="multilevel"/>
    <w:tmpl w:val="6CEA2025"/>
    <w:lvl w:ilvl="0" w:tentative="0">
      <w:start w:val="1"/>
      <w:numFmt w:val="none"/>
      <w:pStyle w:val="49"/>
      <w:suff w:val="nothing"/>
      <w:lvlText w:val="%1"/>
      <w:lvlJc w:val="left"/>
      <w:pPr>
        <w:ind w:left="0" w:firstLine="0"/>
      </w:pPr>
      <w:rPr>
        <w:rFonts w:hint="default" w:ascii="Times New Roman" w:hAnsi="Times New Roman" w:cs="Times New Roman"/>
        <w:b/>
        <w:i w:val="0"/>
        <w:sz w:val="21"/>
      </w:rPr>
    </w:lvl>
    <w:lvl w:ilvl="1" w:tentative="0">
      <w:start w:val="1"/>
      <w:numFmt w:val="decimal"/>
      <w:pStyle w:val="51"/>
      <w:suff w:val="nothing"/>
      <w:lvlText w:val="%1%2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2" w:tentative="0">
      <w:start w:val="1"/>
      <w:numFmt w:val="decimal"/>
      <w:pStyle w:val="52"/>
      <w:suff w:val="nothing"/>
      <w:lvlText w:val="%1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pStyle w:val="53"/>
      <w:suff w:val="nothing"/>
      <w:lvlText w:val="%1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pStyle w:val="56"/>
      <w:suff w:val="nothing"/>
      <w:lvlText w:val="%1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pStyle w:val="57"/>
      <w:suff w:val="nothing"/>
      <w:lvlText w:val="%1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pStyle w:val="58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6FE"/>
    <w:rsid w:val="00811470"/>
    <w:rsid w:val="00AB36FE"/>
    <w:rsid w:val="133C0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0" w:semiHidden="0" w:name="toc 1"/>
    <w:lsdException w:uiPriority="39" w:name="toc 2"/>
    <w:lsdException w:uiPriority="0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0" w:semiHidden="0" w:name="annotation text"/>
    <w:lsdException w:unhideWhenUsed="0" w:uiPriority="0" w:semiHidden="0" w:name="header"/>
    <w:lsdException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0" w:semiHidden="0" w:name="Date"/>
    <w:lsdException w:uiPriority="99" w:name="Body Text First Indent"/>
    <w:lsdException w:uiPriority="99" w:name="Body Text First Indent 2"/>
    <w:lsdException w:uiPriority="99" w:name="Note Heading"/>
    <w:lsdException w:uiPriority="0" w:semiHidden="0" w:name="Body Text 2"/>
    <w:lsdException w:uiPriority="99" w:name="Body Text 3"/>
    <w:lsdException w:uiPriority="0" w:semiHidden="0" w:name="Body Text Indent 2"/>
    <w:lsdException w:uiPriority="0" w:semiHidden="0" w:name="Body Text Indent 3"/>
    <w:lsdException w:uiPriority="99" w:name="Block Text"/>
    <w:lsdException w:unhideWhenUsed="0" w:uiPriority="0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0" w:name="Document Map"/>
    <w:lsdException w:uiPriority="99" w:name="Plain Text"/>
    <w:lsdException w:uiPriority="99" w:name="E-mail Signature"/>
    <w:lsdException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1"/>
    <w:next w:val="1"/>
    <w:link w:val="26"/>
    <w:semiHidden/>
    <w:unhideWhenUsed/>
    <w:qFormat/>
    <w:uiPriority w:val="0"/>
    <w:pPr>
      <w:keepNext/>
      <w:keepLines/>
      <w:spacing w:before="260" w:after="260" w:line="415" w:lineRule="auto"/>
      <w:outlineLvl w:val="2"/>
    </w:pPr>
    <w:rPr>
      <w:rFonts w:eastAsia="黑体"/>
      <w:bCs/>
      <w:sz w:val="24"/>
      <w:szCs w:val="32"/>
    </w:rPr>
  </w:style>
  <w:style w:type="character" w:default="1" w:styleId="20">
    <w:name w:val="Default Paragraph Font"/>
    <w:semiHidden/>
    <w:unhideWhenUsed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Document Map"/>
    <w:basedOn w:val="1"/>
    <w:link w:val="32"/>
    <w:semiHidden/>
    <w:uiPriority w:val="0"/>
    <w:pPr>
      <w:shd w:val="clear" w:color="auto" w:fill="000080"/>
    </w:pPr>
    <w:rPr>
      <w:sz w:val="21"/>
    </w:rPr>
  </w:style>
  <w:style w:type="paragraph" w:styleId="5">
    <w:name w:val="annotation text"/>
    <w:basedOn w:val="1"/>
    <w:next w:val="1"/>
    <w:link w:val="40"/>
    <w:unhideWhenUsed/>
    <w:uiPriority w:val="0"/>
    <w:pPr>
      <w:widowControl/>
      <w:jc w:val="left"/>
    </w:pPr>
    <w:rPr>
      <w:color w:val="000000"/>
      <w:sz w:val="21"/>
      <w:szCs w:val="20"/>
    </w:rPr>
  </w:style>
  <w:style w:type="paragraph" w:styleId="6">
    <w:name w:val="Body Text"/>
    <w:basedOn w:val="1"/>
    <w:link w:val="30"/>
    <w:qFormat/>
    <w:uiPriority w:val="0"/>
    <w:rPr>
      <w:rFonts w:ascii="仿宋_GB2312"/>
    </w:rPr>
  </w:style>
  <w:style w:type="paragraph" w:styleId="7">
    <w:name w:val="Body Text Indent"/>
    <w:basedOn w:val="1"/>
    <w:link w:val="27"/>
    <w:qFormat/>
    <w:uiPriority w:val="0"/>
    <w:pPr>
      <w:spacing w:line="580" w:lineRule="exact"/>
      <w:ind w:firstLine="630"/>
    </w:pPr>
    <w:rPr>
      <w:rFonts w:ascii="仿宋_GB2312" w:eastAsia="仿宋_GB2312"/>
    </w:rPr>
  </w:style>
  <w:style w:type="paragraph" w:styleId="8">
    <w:name w:val="toc 3"/>
    <w:basedOn w:val="1"/>
    <w:next w:val="1"/>
    <w:unhideWhenUsed/>
    <w:uiPriority w:val="0"/>
    <w:pPr>
      <w:ind w:left="840" w:leftChars="400"/>
    </w:pPr>
    <w:rPr>
      <w:rFonts w:eastAsia="仿宋"/>
      <w:sz w:val="24"/>
      <w:szCs w:val="22"/>
    </w:rPr>
  </w:style>
  <w:style w:type="paragraph" w:styleId="9">
    <w:name w:val="Date"/>
    <w:basedOn w:val="1"/>
    <w:next w:val="1"/>
    <w:link w:val="41"/>
    <w:unhideWhenUsed/>
    <w:uiPriority w:val="0"/>
    <w:pPr>
      <w:ind w:left="100" w:leftChars="2500"/>
    </w:pPr>
    <w:rPr>
      <w:rFonts w:ascii="仿宋_GB2312" w:eastAsia="仿宋_GB2312"/>
    </w:rPr>
  </w:style>
  <w:style w:type="paragraph" w:styleId="10">
    <w:name w:val="Body Text Indent 2"/>
    <w:basedOn w:val="1"/>
    <w:link w:val="43"/>
    <w:unhideWhenUsed/>
    <w:uiPriority w:val="0"/>
    <w:pPr>
      <w:spacing w:line="540" w:lineRule="exact"/>
      <w:ind w:firstLine="640" w:firstLineChars="200"/>
    </w:pPr>
    <w:rPr>
      <w:rFonts w:ascii="仿宋_GB2312" w:eastAsia="仿宋_GB2312"/>
    </w:rPr>
  </w:style>
  <w:style w:type="paragraph" w:styleId="11">
    <w:name w:val="Balloon Text"/>
    <w:basedOn w:val="1"/>
    <w:link w:val="38"/>
    <w:uiPriority w:val="0"/>
    <w:rPr>
      <w:sz w:val="18"/>
      <w:szCs w:val="18"/>
    </w:rPr>
  </w:style>
  <w:style w:type="paragraph" w:styleId="12">
    <w:name w:val="footer"/>
    <w:basedOn w:val="1"/>
    <w:link w:val="29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3">
    <w:name w:val="header"/>
    <w:basedOn w:val="1"/>
    <w:link w:val="2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4">
    <w:name w:val="toc 1"/>
    <w:basedOn w:val="1"/>
    <w:next w:val="1"/>
    <w:unhideWhenUsed/>
    <w:uiPriority w:val="0"/>
    <w:rPr>
      <w:rFonts w:eastAsia="仿宋"/>
      <w:sz w:val="24"/>
      <w:szCs w:val="22"/>
    </w:rPr>
  </w:style>
  <w:style w:type="paragraph" w:styleId="15">
    <w:name w:val="Body Text Indent 3"/>
    <w:basedOn w:val="1"/>
    <w:link w:val="44"/>
    <w:unhideWhenUsed/>
    <w:uiPriority w:val="0"/>
    <w:pPr>
      <w:spacing w:line="500" w:lineRule="exact"/>
      <w:ind w:firstLine="640" w:firstLineChars="200"/>
    </w:pPr>
    <w:rPr>
      <w:rFonts w:eastAsia="仿宋_GB2312"/>
      <w:u w:val="single"/>
    </w:rPr>
  </w:style>
  <w:style w:type="paragraph" w:styleId="16">
    <w:name w:val="Body Text 2"/>
    <w:basedOn w:val="1"/>
    <w:link w:val="42"/>
    <w:unhideWhenUsed/>
    <w:uiPriority w:val="0"/>
    <w:pPr>
      <w:spacing w:after="120" w:line="480" w:lineRule="auto"/>
    </w:pPr>
    <w:rPr>
      <w:sz w:val="21"/>
    </w:rPr>
  </w:style>
  <w:style w:type="paragraph" w:styleId="17">
    <w:name w:val="Normal (Web)"/>
    <w:basedOn w:val="1"/>
    <w:uiPriority w:val="0"/>
    <w:pPr>
      <w:widowControl/>
      <w:spacing w:before="100" w:after="100"/>
      <w:jc w:val="left"/>
    </w:pPr>
    <w:rPr>
      <w:rFonts w:hint="eastAsia" w:ascii="宋体" w:hAnsi="宋体"/>
      <w:color w:val="000000"/>
      <w:kern w:val="0"/>
      <w:sz w:val="24"/>
      <w:szCs w:val="20"/>
    </w:rPr>
  </w:style>
  <w:style w:type="table" w:styleId="19">
    <w:name w:val="Table Grid"/>
    <w:basedOn w:val="18"/>
    <w:qFormat/>
    <w:uiPriority w:val="0"/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1">
    <w:name w:val="page number"/>
    <w:basedOn w:val="20"/>
    <w:uiPriority w:val="0"/>
  </w:style>
  <w:style w:type="character" w:styleId="22">
    <w:name w:val="FollowedHyperlink"/>
    <w:basedOn w:val="20"/>
    <w:semiHidden/>
    <w:unhideWhenUsed/>
    <w:qFormat/>
    <w:uiPriority w:val="99"/>
    <w:rPr>
      <w:color w:val="800080" w:themeColor="followedHyperlink"/>
      <w:u w:val="single"/>
    </w:rPr>
  </w:style>
  <w:style w:type="character" w:styleId="23">
    <w:name w:val="Emphasis"/>
    <w:qFormat/>
    <w:uiPriority w:val="20"/>
    <w:rPr>
      <w:color w:val="CC0000"/>
    </w:rPr>
  </w:style>
  <w:style w:type="character" w:styleId="24">
    <w:name w:val="Hyperlink"/>
    <w:uiPriority w:val="0"/>
    <w:rPr>
      <w:color w:val="0000FF"/>
      <w:u w:val="single"/>
    </w:rPr>
  </w:style>
  <w:style w:type="character" w:customStyle="1" w:styleId="25">
    <w:name w:val="标题 1 Char"/>
    <w:basedOn w:val="20"/>
    <w:link w:val="2"/>
    <w:uiPriority w:val="0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26">
    <w:name w:val="标题 3 Char"/>
    <w:basedOn w:val="20"/>
    <w:link w:val="3"/>
    <w:semiHidden/>
    <w:uiPriority w:val="0"/>
    <w:rPr>
      <w:rFonts w:ascii="Times New Roman" w:hAnsi="Times New Roman" w:eastAsia="黑体" w:cs="Times New Roman"/>
      <w:bCs/>
      <w:sz w:val="24"/>
      <w:szCs w:val="32"/>
    </w:rPr>
  </w:style>
  <w:style w:type="character" w:customStyle="1" w:styleId="27">
    <w:name w:val="正文文本缩进 Char"/>
    <w:basedOn w:val="20"/>
    <w:link w:val="7"/>
    <w:qFormat/>
    <w:uiPriority w:val="0"/>
    <w:rPr>
      <w:rFonts w:ascii="仿宋_GB2312" w:hAnsi="Times New Roman" w:eastAsia="仿宋_GB2312" w:cs="Times New Roman"/>
      <w:sz w:val="32"/>
      <w:szCs w:val="24"/>
    </w:rPr>
  </w:style>
  <w:style w:type="character" w:customStyle="1" w:styleId="28">
    <w:name w:val="页眉 Char"/>
    <w:basedOn w:val="20"/>
    <w:link w:val="13"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29">
    <w:name w:val="页脚 Char"/>
    <w:basedOn w:val="20"/>
    <w:link w:val="12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30">
    <w:name w:val="正文文本 Char"/>
    <w:basedOn w:val="20"/>
    <w:link w:val="6"/>
    <w:uiPriority w:val="0"/>
    <w:rPr>
      <w:rFonts w:ascii="仿宋_GB2312" w:hAnsi="Times New Roman" w:eastAsia="宋体" w:cs="Times New Roman"/>
      <w:sz w:val="32"/>
      <w:szCs w:val="24"/>
    </w:rPr>
  </w:style>
  <w:style w:type="paragraph" w:customStyle="1" w:styleId="31">
    <w:name w:val="默认段落字体 Para Char Char Char Char Char Char Char Char Char1 Char Char Char Char Char Char Char"/>
    <w:basedOn w:val="4"/>
    <w:uiPriority w:val="0"/>
    <w:rPr>
      <w:rFonts w:ascii="Tahoma" w:hAnsi="Tahoma"/>
      <w:sz w:val="24"/>
    </w:rPr>
  </w:style>
  <w:style w:type="character" w:customStyle="1" w:styleId="32">
    <w:name w:val="文档结构图 Char"/>
    <w:basedOn w:val="20"/>
    <w:link w:val="4"/>
    <w:semiHidden/>
    <w:uiPriority w:val="0"/>
    <w:rPr>
      <w:rFonts w:ascii="Times New Roman" w:hAnsi="Times New Roman" w:eastAsia="宋体" w:cs="Times New Roman"/>
      <w:szCs w:val="24"/>
      <w:shd w:val="clear" w:color="auto" w:fill="000080"/>
    </w:rPr>
  </w:style>
  <w:style w:type="paragraph" w:customStyle="1" w:styleId="33">
    <w:name w:val="Char"/>
    <w:basedOn w:val="1"/>
    <w:uiPriority w:val="0"/>
    <w:pPr>
      <w:widowControl/>
      <w:spacing w:after="160" w:line="240" w:lineRule="exact"/>
      <w:jc w:val="left"/>
    </w:pPr>
    <w:rPr>
      <w:rFonts w:ascii="Verdana" w:hAnsi="Verdana" w:eastAsia="仿宋_GB2312"/>
      <w:kern w:val="0"/>
      <w:sz w:val="24"/>
      <w:szCs w:val="20"/>
      <w:lang w:eastAsia="en-US"/>
    </w:rPr>
  </w:style>
  <w:style w:type="paragraph" w:customStyle="1" w:styleId="34">
    <w:name w:val="红线"/>
    <w:basedOn w:val="2"/>
    <w:qFormat/>
    <w:uiPriority w:val="0"/>
    <w:pPr>
      <w:keepNext w:val="0"/>
      <w:keepLines w:val="0"/>
      <w:autoSpaceDE w:val="0"/>
      <w:autoSpaceDN w:val="0"/>
      <w:adjustRightInd w:val="0"/>
      <w:spacing w:before="0" w:after="851" w:line="227" w:lineRule="atLeast"/>
      <w:ind w:right="-142"/>
      <w:jc w:val="center"/>
      <w:outlineLvl w:val="9"/>
    </w:pPr>
    <w:rPr>
      <w:rFonts w:ascii="宋体"/>
      <w:bCs w:val="0"/>
      <w:snapToGrid w:val="0"/>
      <w:kern w:val="0"/>
      <w:sz w:val="10"/>
      <w:szCs w:val="20"/>
    </w:rPr>
  </w:style>
  <w:style w:type="character" w:customStyle="1" w:styleId="35">
    <w:name w:val="main_articletitle"/>
    <w:basedOn w:val="20"/>
    <w:qFormat/>
    <w:uiPriority w:val="0"/>
  </w:style>
  <w:style w:type="paragraph" w:customStyle="1" w:styleId="36">
    <w:name w:val="Char Char Char Char Char Char Char Char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paragraph" w:customStyle="1" w:styleId="37">
    <w:name w:val="_Style 26"/>
    <w:unhideWhenUsed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  <w:style w:type="character" w:customStyle="1" w:styleId="38">
    <w:name w:val="批注框文本 Char"/>
    <w:basedOn w:val="20"/>
    <w:link w:val="11"/>
    <w:uiPriority w:val="0"/>
    <w:rPr>
      <w:rFonts w:ascii="Times New Roman" w:hAnsi="Times New Roman" w:eastAsia="宋体" w:cs="Times New Roman"/>
      <w:sz w:val="18"/>
      <w:szCs w:val="18"/>
    </w:rPr>
  </w:style>
  <w:style w:type="paragraph" w:customStyle="1" w:styleId="39">
    <w:name w:val=" Char Char1"/>
    <w:basedOn w:val="4"/>
    <w:uiPriority w:val="0"/>
    <w:rPr>
      <w:rFonts w:ascii="Tahoma" w:hAnsi="Tahoma"/>
      <w:sz w:val="24"/>
    </w:rPr>
  </w:style>
  <w:style w:type="character" w:customStyle="1" w:styleId="40">
    <w:name w:val="批注文字 Char"/>
    <w:basedOn w:val="20"/>
    <w:link w:val="5"/>
    <w:uiPriority w:val="0"/>
    <w:rPr>
      <w:rFonts w:ascii="Times New Roman" w:hAnsi="Times New Roman" w:eastAsia="宋体" w:cs="Times New Roman"/>
      <w:color w:val="000000"/>
      <w:szCs w:val="20"/>
    </w:rPr>
  </w:style>
  <w:style w:type="character" w:customStyle="1" w:styleId="41">
    <w:name w:val="日期 Char"/>
    <w:basedOn w:val="20"/>
    <w:link w:val="9"/>
    <w:uiPriority w:val="0"/>
    <w:rPr>
      <w:rFonts w:ascii="仿宋_GB2312" w:hAnsi="Times New Roman" w:eastAsia="仿宋_GB2312" w:cs="Times New Roman"/>
      <w:sz w:val="32"/>
      <w:szCs w:val="24"/>
    </w:rPr>
  </w:style>
  <w:style w:type="character" w:customStyle="1" w:styleId="42">
    <w:name w:val="正文文本 2 Char"/>
    <w:basedOn w:val="20"/>
    <w:link w:val="16"/>
    <w:uiPriority w:val="0"/>
    <w:rPr>
      <w:rFonts w:ascii="Times New Roman" w:hAnsi="Times New Roman" w:eastAsia="宋体" w:cs="Times New Roman"/>
      <w:szCs w:val="24"/>
    </w:rPr>
  </w:style>
  <w:style w:type="character" w:customStyle="1" w:styleId="43">
    <w:name w:val="正文文本缩进 2 Char"/>
    <w:basedOn w:val="20"/>
    <w:link w:val="10"/>
    <w:uiPriority w:val="0"/>
    <w:rPr>
      <w:rFonts w:ascii="仿宋_GB2312" w:hAnsi="Times New Roman" w:eastAsia="仿宋_GB2312" w:cs="Times New Roman"/>
      <w:sz w:val="32"/>
      <w:szCs w:val="24"/>
    </w:rPr>
  </w:style>
  <w:style w:type="character" w:customStyle="1" w:styleId="44">
    <w:name w:val="正文文本缩进 3 Char"/>
    <w:basedOn w:val="20"/>
    <w:link w:val="15"/>
    <w:uiPriority w:val="0"/>
    <w:rPr>
      <w:rFonts w:ascii="Times New Roman" w:hAnsi="Times New Roman" w:eastAsia="仿宋_GB2312" w:cs="Times New Roman"/>
      <w:sz w:val="32"/>
      <w:szCs w:val="24"/>
      <w:u w:val="single"/>
    </w:rPr>
  </w:style>
  <w:style w:type="paragraph" w:styleId="45">
    <w:name w:val="List Paragraph"/>
    <w:basedOn w:val="1"/>
    <w:qFormat/>
    <w:uiPriority w:val="0"/>
    <w:pPr>
      <w:ind w:firstLine="420" w:firstLineChars="200"/>
    </w:pPr>
    <w:rPr>
      <w:rFonts w:ascii="Calibri" w:hAnsi="Calibri"/>
      <w:szCs w:val="22"/>
    </w:rPr>
  </w:style>
  <w:style w:type="paragraph" w:customStyle="1" w:styleId="46">
    <w:name w:val="文头"/>
    <w:basedOn w:val="1"/>
    <w:uiPriority w:val="0"/>
    <w:pPr>
      <w:tabs>
        <w:tab w:val="left" w:pos="6663"/>
      </w:tabs>
      <w:autoSpaceDE w:val="0"/>
      <w:autoSpaceDN w:val="0"/>
      <w:snapToGrid w:val="0"/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kern w:val="0"/>
      <w:sz w:val="140"/>
      <w:szCs w:val="20"/>
    </w:rPr>
  </w:style>
  <w:style w:type="paragraph" w:customStyle="1" w:styleId="47">
    <w:name w:val="Char Char Char1 Char Char Char Char"/>
    <w:basedOn w:val="1"/>
    <w:uiPriority w:val="0"/>
    <w:pPr>
      <w:widowControl/>
      <w:spacing w:after="160" w:line="240" w:lineRule="exact"/>
      <w:jc w:val="left"/>
    </w:pPr>
    <w:rPr>
      <w:rFonts w:ascii="Verdana" w:hAnsi="Verdana" w:eastAsia="仿宋_GB2312"/>
      <w:kern w:val="0"/>
      <w:sz w:val="24"/>
      <w:szCs w:val="20"/>
      <w:lang w:eastAsia="en-US"/>
    </w:rPr>
  </w:style>
  <w:style w:type="paragraph" w:customStyle="1" w:styleId="48">
    <w:name w:val="reader-word-layer reader-word-s1-10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49">
    <w:name w:val="标准书脚_奇数页"/>
    <w:uiPriority w:val="0"/>
    <w:pPr>
      <w:numPr>
        <w:ilvl w:val="0"/>
        <w:numId w:val="1"/>
      </w:numPr>
      <w:spacing w:before="120"/>
      <w:jc w:val="right"/>
    </w:pPr>
    <w:rPr>
      <w:rFonts w:ascii="Times New Roman" w:hAnsi="Times New Roman" w:eastAsia="宋体" w:cs="Times New Roman"/>
      <w:kern w:val="0"/>
      <w:sz w:val="18"/>
      <w:szCs w:val="20"/>
      <w:lang w:val="en-US" w:eastAsia="zh-CN" w:bidi="ar-SA"/>
    </w:rPr>
  </w:style>
  <w:style w:type="paragraph" w:customStyle="1" w:styleId="50">
    <w:name w:val="前言、引言标题"/>
    <w:next w:val="1"/>
    <w:uiPriority w:val="0"/>
    <w:pPr>
      <w:shd w:val="clear" w:color="auto" w:fill="FFFFFF"/>
      <w:tabs>
        <w:tab w:val="left" w:pos="360"/>
        <w:tab w:val="left" w:pos="1320"/>
      </w:tabs>
      <w:spacing w:before="640" w:after="560"/>
      <w:ind w:left="1320" w:hanging="720"/>
      <w:jc w:val="center"/>
      <w:outlineLvl w:val="0"/>
    </w:pPr>
    <w:rPr>
      <w:rFonts w:ascii="黑体" w:hAnsi="Times New Roman" w:eastAsia="黑体" w:cs="Times New Roman"/>
      <w:kern w:val="0"/>
      <w:sz w:val="32"/>
      <w:szCs w:val="20"/>
      <w:lang w:val="en-US" w:eastAsia="zh-CN" w:bidi="ar-SA"/>
    </w:rPr>
  </w:style>
  <w:style w:type="paragraph" w:customStyle="1" w:styleId="51">
    <w:name w:val="段"/>
    <w:uiPriority w:val="0"/>
    <w:pPr>
      <w:numPr>
        <w:ilvl w:val="1"/>
        <w:numId w:val="1"/>
      </w:num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kern w:val="0"/>
      <w:sz w:val="21"/>
      <w:szCs w:val="20"/>
      <w:lang w:val="en-US" w:eastAsia="zh-CN" w:bidi="ar-SA"/>
    </w:rPr>
  </w:style>
  <w:style w:type="paragraph" w:customStyle="1" w:styleId="52">
    <w:name w:val="章标题"/>
    <w:next w:val="51"/>
    <w:uiPriority w:val="0"/>
    <w:pPr>
      <w:numPr>
        <w:ilvl w:val="2"/>
        <w:numId w:val="1"/>
      </w:numPr>
      <w:tabs>
        <w:tab w:val="left" w:pos="360"/>
      </w:tabs>
      <w:spacing w:beforeLines="50"/>
      <w:jc w:val="both"/>
      <w:outlineLvl w:val="1"/>
    </w:pPr>
    <w:rPr>
      <w:rFonts w:ascii="黑体" w:hAnsi="Times New Roman" w:eastAsia="黑体" w:cs="Times New Roman"/>
      <w:kern w:val="0"/>
      <w:sz w:val="21"/>
      <w:szCs w:val="20"/>
      <w:lang w:val="en-US" w:eastAsia="zh-CN" w:bidi="ar-SA"/>
    </w:rPr>
  </w:style>
  <w:style w:type="paragraph" w:customStyle="1" w:styleId="53">
    <w:name w:val="一级条标题"/>
    <w:basedOn w:val="52"/>
    <w:next w:val="51"/>
    <w:uiPriority w:val="0"/>
    <w:pPr>
      <w:numPr>
        <w:ilvl w:val="3"/>
      </w:numPr>
      <w:spacing w:beforeLines="0"/>
      <w:outlineLvl w:val="2"/>
    </w:pPr>
  </w:style>
  <w:style w:type="paragraph" w:customStyle="1" w:styleId="54">
    <w:name w:val="二级条标题"/>
    <w:basedOn w:val="53"/>
    <w:next w:val="51"/>
    <w:uiPriority w:val="0"/>
    <w:pPr>
      <w:numPr>
        <w:ilvl w:val="0"/>
        <w:numId w:val="0"/>
      </w:numPr>
      <w:tabs>
        <w:tab w:val="left" w:pos="2280"/>
      </w:tabs>
      <w:ind w:left="2280" w:hanging="420"/>
      <w:outlineLvl w:val="3"/>
    </w:pPr>
  </w:style>
  <w:style w:type="paragraph" w:customStyle="1" w:styleId="55">
    <w:name w:val="封面标准文稿编辑信息"/>
    <w:uiPriority w:val="0"/>
    <w:pPr>
      <w:spacing w:before="180" w:line="180" w:lineRule="exact"/>
      <w:jc w:val="center"/>
    </w:pPr>
    <w:rPr>
      <w:rFonts w:ascii="宋体" w:hAnsi="Times New Roman" w:eastAsia="宋体" w:cs="Times New Roman"/>
      <w:kern w:val="0"/>
      <w:sz w:val="21"/>
      <w:szCs w:val="20"/>
      <w:lang w:val="en-US" w:eastAsia="zh-CN" w:bidi="ar-SA"/>
    </w:rPr>
  </w:style>
  <w:style w:type="paragraph" w:customStyle="1" w:styleId="56">
    <w:name w:val="附录表标题"/>
    <w:next w:val="51"/>
    <w:uiPriority w:val="0"/>
    <w:pPr>
      <w:numPr>
        <w:ilvl w:val="4"/>
        <w:numId w:val="1"/>
      </w:numPr>
      <w:jc w:val="center"/>
    </w:pPr>
    <w:rPr>
      <w:rFonts w:ascii="黑体" w:hAnsi="Times New Roman" w:eastAsia="黑体" w:cs="Times New Roman"/>
      <w:kern w:val="21"/>
      <w:sz w:val="21"/>
      <w:szCs w:val="20"/>
      <w:lang w:val="en-US" w:eastAsia="zh-CN" w:bidi="ar-SA"/>
    </w:rPr>
  </w:style>
  <w:style w:type="paragraph" w:customStyle="1" w:styleId="57">
    <w:name w:val="三级条标题"/>
    <w:basedOn w:val="54"/>
    <w:next w:val="51"/>
    <w:uiPriority w:val="0"/>
    <w:pPr>
      <w:numPr>
        <w:ilvl w:val="5"/>
        <w:numId w:val="1"/>
      </w:numPr>
      <w:outlineLvl w:val="4"/>
    </w:pPr>
  </w:style>
  <w:style w:type="paragraph" w:customStyle="1" w:styleId="58">
    <w:name w:val="四级条标题"/>
    <w:basedOn w:val="57"/>
    <w:next w:val="51"/>
    <w:uiPriority w:val="0"/>
    <w:pPr>
      <w:numPr>
        <w:ilvl w:val="6"/>
      </w:numPr>
      <w:outlineLvl w:val="5"/>
    </w:pPr>
  </w:style>
  <w:style w:type="paragraph" w:customStyle="1" w:styleId="59">
    <w:name w:val="五级条标题"/>
    <w:basedOn w:val="58"/>
    <w:next w:val="51"/>
    <w:uiPriority w:val="0"/>
    <w:pPr>
      <w:numPr>
        <w:ilvl w:val="0"/>
        <w:numId w:val="0"/>
      </w:numPr>
      <w:tabs>
        <w:tab w:val="left" w:pos="3540"/>
      </w:tabs>
      <w:ind w:left="3540" w:hanging="420"/>
      <w:outlineLvl w:val="6"/>
    </w:pPr>
  </w:style>
  <w:style w:type="paragraph" w:customStyle="1" w:styleId="60">
    <w:name w:val="Char Char Char Char"/>
    <w:basedOn w:val="1"/>
    <w:qFormat/>
    <w:uiPriority w:val="0"/>
    <w:pPr>
      <w:spacing w:line="360" w:lineRule="auto"/>
    </w:pPr>
    <w:rPr>
      <w:rFonts w:ascii="Tahoma" w:hAnsi="Tahoma" w:cs="Tahoma"/>
      <w:sz w:val="28"/>
      <w:szCs w:val="28"/>
    </w:rPr>
  </w:style>
  <w:style w:type="paragraph" w:customStyle="1" w:styleId="61">
    <w:name w:val="注意样式"/>
    <w:basedOn w:val="1"/>
    <w:qFormat/>
    <w:uiPriority w:val="0"/>
    <w:rPr>
      <w:rFonts w:eastAsia="楷体_GB2312"/>
      <w:sz w:val="24"/>
      <w:szCs w:val="22"/>
    </w:rPr>
  </w:style>
  <w:style w:type="paragraph" w:customStyle="1" w:styleId="62">
    <w:name w:val="正文样式"/>
    <w:basedOn w:val="45"/>
    <w:qFormat/>
    <w:uiPriority w:val="0"/>
    <w:pPr>
      <w:spacing w:line="360" w:lineRule="auto"/>
      <w:ind w:firstLine="454" w:firstLineChars="0"/>
    </w:pPr>
    <w:rPr>
      <w:rFonts w:ascii="仿宋" w:hAnsi="仿宋" w:eastAsia="仿宋_GB2312"/>
      <w:sz w:val="24"/>
      <w:szCs w:val="24"/>
    </w:rPr>
  </w:style>
  <w:style w:type="character" w:customStyle="1" w:styleId="63">
    <w:name w:val="Intense Emphasis"/>
    <w:basedOn w:val="20"/>
    <w:qFormat/>
    <w:uiPriority w:val="21"/>
    <w:rPr>
      <w:b/>
      <w:bCs/>
      <w:i/>
      <w:iCs/>
      <w:color w:val="4F81BD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9</Pages>
  <Words>12499</Words>
  <Characters>15376</Characters>
  <Lines>124</Lines>
  <Paragraphs>35</Paragraphs>
  <TotalTime>1</TotalTime>
  <ScaleCrop>false</ScaleCrop>
  <LinksUpToDate>false</LinksUpToDate>
  <CharactersWithSpaces>15400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2018-06-11T03:39:00Z</dcterms:created>
  <dc:creator>Administrator</dc:creator>
  <cp:lastModifiedBy>lenovo</cp:lastModifiedBy>
  <dcterms:modified xsi:type="dcterms:W3CDTF">2023-08-16T06:30:57Z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C15BADD5158244EBA7A18D33742D46E6_13</vt:lpwstr>
  </property>
</Properties>
</file>