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ascii="方正小标宋_GBK" w:hAnsi="方正小标宋_GBK" w:eastAsia="方正小标宋_GBK" w:cs="方正小标宋_GBK"/>
          <w:sz w:val="44"/>
          <w:szCs w:val="44"/>
        </w:rPr>
      </w:pPr>
      <w:bookmarkStart w:id="1" w:name="_GoBack"/>
      <w:bookmarkStart w:id="0" w:name="br1"/>
      <w:bookmarkEnd w:id="0"/>
      <w:r>
        <w:rPr>
          <w:rFonts w:hint="eastAsia" w:ascii="方正小标宋_GBK" w:hAnsi="方正小标宋_GBK" w:eastAsia="方正小标宋_GBK" w:cs="方正小标宋_GBK"/>
          <w:sz w:val="44"/>
          <w:szCs w:val="44"/>
        </w:rPr>
        <w:t>关于印发《海陵区农机购置补贴工作</w:t>
      </w:r>
    </w:p>
    <w:bookmarkEnd w:id="1"/>
    <w:p>
      <w:pPr>
        <w:spacing w:line="600" w:lineRule="exac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“五项”内控制度》的通知</w:t>
      </w:r>
    </w:p>
    <w:p>
      <w:pPr>
        <w:spacing w:line="520" w:lineRule="exact"/>
        <w:rPr>
          <w:rFonts w:eastAsia="仿宋_GB2312"/>
          <w:szCs w:val="32"/>
        </w:rPr>
      </w:pP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各镇（街）农业农村局：</w:t>
      </w:r>
    </w:p>
    <w:p>
      <w:pPr>
        <w:spacing w:line="600" w:lineRule="exact"/>
        <w:jc w:val="left"/>
        <w:rPr>
          <w:rFonts w:ascii="仿宋_GB2312" w:hAnsi="仿宋_GB2312" w:eastAsia="仿宋_GB2312" w:cs="仿宋_GB2312"/>
          <w:sz w:val="32"/>
          <w:szCs w:val="32"/>
        </w:rPr>
      </w:pP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为进一步加强购置补贴政策实施的组织领导，明确职责分工，规范业务流程，形成相互制约，相互监督的风险防控机制，按照省农业农村厅、财政厅《关于印发</w:t>
      </w:r>
      <w:r>
        <w:rPr>
          <w:rFonts w:ascii="仿宋_GB2312" w:hAnsi="仿宋_GB2312" w:eastAsia="仿宋_GB2312" w:cs="仿宋_GB2312"/>
          <w:sz w:val="32"/>
          <w:szCs w:val="32"/>
        </w:rPr>
        <w:t>2021-2023</w:t>
      </w:r>
      <w:r>
        <w:rPr>
          <w:rFonts w:hint="eastAsia" w:ascii="仿宋_GB2312" w:hAnsi="仿宋_GB2312" w:eastAsia="仿宋_GB2312" w:cs="仿宋_GB2312"/>
          <w:sz w:val="32"/>
          <w:szCs w:val="32"/>
        </w:rPr>
        <w:t>年江苏省农机购置补贴实施意见的通知》（苏农机〔</w:t>
      </w: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13</w:t>
      </w:r>
      <w:r>
        <w:rPr>
          <w:rFonts w:hint="eastAsia" w:ascii="仿宋_GB2312" w:hAnsi="仿宋_GB2312" w:eastAsia="仿宋_GB2312" w:cs="仿宋_GB2312"/>
          <w:sz w:val="32"/>
          <w:szCs w:val="32"/>
        </w:rPr>
        <w:t>号）文件要求，围绕“</w:t>
      </w:r>
      <w:r>
        <w:rPr>
          <w:rFonts w:hint="eastAsia" w:ascii="仿宋_GB2312" w:hAnsi="仿宋_GB2312" w:eastAsia="仿宋_GB2312" w:cs="仿宋_GB2312"/>
          <w:kern w:val="44"/>
          <w:sz w:val="32"/>
          <w:szCs w:val="32"/>
        </w:rPr>
        <w:t>农机购置补贴工作方案制订、补贴申请受理审核与结算、补贴监管与违规投诉处理、政策宣传与信息公开、绩效管理”五个主要环节，结合我区实际，制定</w:t>
      </w:r>
      <w:r>
        <w:rPr>
          <w:rFonts w:hint="eastAsia" w:ascii="仿宋_GB2312" w:hAnsi="仿宋_GB2312" w:eastAsia="仿宋_GB2312" w:cs="仿宋_GB2312"/>
          <w:sz w:val="32"/>
          <w:szCs w:val="32"/>
        </w:rPr>
        <w:t>海陵区农机购置补贴工作“五项”内控制度，现印发给你们，请遵照执行。</w:t>
      </w:r>
    </w:p>
    <w:p>
      <w:pPr>
        <w:spacing w:line="520" w:lineRule="exact"/>
        <w:ind w:firstLine="630"/>
        <w:rPr>
          <w:rFonts w:ascii="宋体" w:cs="宋体"/>
          <w:sz w:val="32"/>
          <w:szCs w:val="32"/>
        </w:rPr>
      </w:pPr>
    </w:p>
    <w:p>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附件：</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海陵区农机购置补贴工作方案制订制度</w:t>
      </w:r>
      <w:r>
        <w:rPr>
          <w:rFonts w:ascii="仿宋_GB2312" w:hAnsi="仿宋_GB2312" w:eastAsia="仿宋_GB2312" w:cs="仿宋_GB2312"/>
          <w:sz w:val="32"/>
          <w:szCs w:val="32"/>
        </w:rPr>
        <w:t xml:space="preserve">  </w:t>
      </w:r>
    </w:p>
    <w:p>
      <w:pPr>
        <w:spacing w:line="600" w:lineRule="exact"/>
        <w:ind w:firstLine="960" w:firstLineChars="300"/>
        <w:rPr>
          <w:rFonts w:ascii="仿宋_GB2312" w:hAnsi="仿宋_GB2312" w:eastAsia="仿宋_GB2312" w:cs="仿宋_GB2312"/>
          <w:sz w:val="32"/>
          <w:szCs w:val="32"/>
        </w:rPr>
      </w:pPr>
      <w:r>
        <w:rPr>
          <w:rFonts w:ascii="仿宋_GB2312" w:hAnsi="仿宋_GB2312" w:eastAsia="仿宋_GB2312" w:cs="仿宋_GB2312"/>
          <w:sz w:val="32"/>
          <w:szCs w:val="32"/>
        </w:rPr>
        <w:t>2.</w:t>
      </w:r>
      <w:r>
        <w:rPr>
          <w:rFonts w:hint="eastAsia" w:ascii="仿宋_GB2312" w:hAnsi="仿宋_GB2312" w:eastAsia="仿宋_GB2312" w:cs="仿宋_GB2312"/>
          <w:sz w:val="32"/>
          <w:szCs w:val="32"/>
        </w:rPr>
        <w:t>海陵区农机购置补贴申请受理审核与结算制度</w:t>
      </w:r>
    </w:p>
    <w:p>
      <w:pPr>
        <w:spacing w:line="600" w:lineRule="exact"/>
        <w:ind w:firstLine="960" w:firstLineChars="300"/>
        <w:rPr>
          <w:rFonts w:ascii="仿宋_GB2312" w:hAnsi="仿宋_GB2312" w:eastAsia="仿宋_GB2312" w:cs="仿宋_GB2312"/>
          <w:sz w:val="32"/>
          <w:szCs w:val="32"/>
        </w:rPr>
      </w:pPr>
    </w:p>
    <w:p>
      <w:pPr>
        <w:spacing w:line="600" w:lineRule="exact"/>
        <w:ind w:firstLine="960" w:firstLineChars="300"/>
        <w:rPr>
          <w:rFonts w:ascii="仿宋_GB2312" w:hAnsi="仿宋_GB2312" w:eastAsia="仿宋_GB2312" w:cs="仿宋_GB2312"/>
          <w:sz w:val="32"/>
          <w:szCs w:val="32"/>
        </w:rPr>
      </w:pPr>
      <w:r>
        <w:rPr>
          <w:rFonts w:ascii="仿宋_GB2312" w:hAnsi="仿宋_GB2312" w:eastAsia="仿宋_GB2312" w:cs="仿宋_GB2312"/>
          <w:sz w:val="32"/>
          <w:szCs w:val="32"/>
        </w:rPr>
        <w:t>3.</w:t>
      </w:r>
      <w:r>
        <w:rPr>
          <w:rFonts w:hint="eastAsia" w:ascii="仿宋_GB2312" w:hAnsi="仿宋_GB2312" w:eastAsia="仿宋_GB2312" w:cs="仿宋_GB2312"/>
          <w:sz w:val="32"/>
          <w:szCs w:val="32"/>
        </w:rPr>
        <w:t>海陵区农机购置补贴监管与违规投诉处理制度</w:t>
      </w:r>
    </w:p>
    <w:p>
      <w:pPr>
        <w:spacing w:line="600" w:lineRule="exact"/>
        <w:rPr>
          <w:rFonts w:ascii="仿宋_GB2312" w:hAnsi="仿宋_GB2312" w:eastAsia="仿宋_GB2312" w:cs="仿宋_GB2312"/>
          <w:sz w:val="32"/>
          <w:szCs w:val="32"/>
        </w:rPr>
      </w:pPr>
      <w:r>
        <w:rPr>
          <w:rFonts w:ascii="仿宋_GB2312" w:hAnsi="仿宋_GB2312" w:eastAsia="仿宋_GB2312" w:cs="仿宋_GB2312"/>
          <w:sz w:val="32"/>
          <w:szCs w:val="32"/>
        </w:rPr>
        <w:t xml:space="preserve">      4.</w:t>
      </w:r>
      <w:r>
        <w:rPr>
          <w:rFonts w:hint="eastAsia" w:ascii="仿宋_GB2312" w:hAnsi="仿宋_GB2312" w:eastAsia="仿宋_GB2312" w:cs="仿宋_GB2312"/>
          <w:sz w:val="32"/>
          <w:szCs w:val="32"/>
        </w:rPr>
        <w:t>海陵区农机购置补贴政策宣传与信息公开制度</w:t>
      </w:r>
    </w:p>
    <w:p>
      <w:pPr>
        <w:spacing w:line="600" w:lineRule="exact"/>
        <w:rPr>
          <w:rFonts w:ascii="宋体" w:cs="宋体"/>
          <w:sz w:val="32"/>
          <w:szCs w:val="32"/>
        </w:rPr>
      </w:pPr>
      <w:r>
        <w:rPr>
          <w:rFonts w:ascii="仿宋_GB2312" w:hAnsi="仿宋_GB2312" w:eastAsia="仿宋_GB2312" w:cs="仿宋_GB2312"/>
          <w:sz w:val="32"/>
          <w:szCs w:val="32"/>
        </w:rPr>
        <w:t xml:space="preserve">      5.</w:t>
      </w:r>
      <w:r>
        <w:rPr>
          <w:rFonts w:hint="eastAsia" w:ascii="仿宋_GB2312" w:hAnsi="仿宋_GB2312" w:eastAsia="仿宋_GB2312" w:cs="仿宋_GB2312"/>
          <w:sz w:val="32"/>
          <w:szCs w:val="32"/>
        </w:rPr>
        <w:t>海陵区农机购置补贴政策落实延伸绩效管理制度</w:t>
      </w:r>
    </w:p>
    <w:p>
      <w:pPr>
        <w:ind w:firstLine="5308" w:firstLineChars="1659"/>
        <w:rPr>
          <w:rFonts w:ascii="宋体" w:cs="宋体"/>
          <w:sz w:val="32"/>
          <w:szCs w:val="32"/>
        </w:rPr>
      </w:pPr>
    </w:p>
    <w:p>
      <w:pPr>
        <w:widowControl/>
        <w:wordWrap w:val="0"/>
        <w:spacing w:line="400" w:lineRule="exact"/>
        <w:ind w:firstLine="588" w:firstLineChars="200"/>
        <w:rPr>
          <w:rFonts w:ascii="仿宋_GB2312" w:hAnsi="仿宋_GB2312" w:eastAsia="仿宋_GB2312" w:cs="仿宋_GB2312"/>
          <w:color w:val="000000"/>
          <w:spacing w:val="-3"/>
          <w:sz w:val="30"/>
          <w:szCs w:val="30"/>
          <w:shd w:val="clear" w:color="auto" w:fill="FFFFFF"/>
        </w:rPr>
      </w:pPr>
    </w:p>
    <w:p>
      <w:pPr>
        <w:widowControl/>
        <w:wordWrap w:val="0"/>
        <w:spacing w:before="120" w:line="400" w:lineRule="exact"/>
        <w:ind w:firstLine="588" w:firstLineChars="200"/>
        <w:rPr>
          <w:rFonts w:ascii="仿宋_GB2312" w:hAnsi="仿宋_GB2312" w:eastAsia="仿宋_GB2312" w:cs="仿宋_GB2312"/>
          <w:color w:val="000000"/>
          <w:spacing w:val="-3"/>
          <w:sz w:val="30"/>
          <w:szCs w:val="30"/>
          <w:shd w:val="clear" w:color="auto" w:fill="FFFFFF"/>
        </w:rPr>
      </w:pPr>
    </w:p>
    <w:p>
      <w:pPr>
        <w:spacing w:line="480" w:lineRule="exact"/>
        <w:ind w:firstLine="640" w:firstLineChars="200"/>
        <w:jc w:val="center"/>
        <w:rPr>
          <w:rFonts w:ascii="仿宋_GB2312" w:hAnsi="仿宋_GB2312" w:eastAsia="仿宋_GB2312" w:cs="仿宋_GB2312"/>
          <w:sz w:val="32"/>
          <w:szCs w:val="32"/>
        </w:rPr>
      </w:pPr>
      <w:r>
        <w:rPr>
          <w:rFonts w:ascii="仿宋" w:hAnsi="仿宋" w:eastAsia="仿宋"/>
          <w:sz w:val="32"/>
          <w:szCs w:val="32"/>
        </w:rPr>
        <w:t xml:space="preserve">                </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泰州市海陵区农业农村局</w:t>
      </w:r>
    </w:p>
    <w:p>
      <w:pPr>
        <w:spacing w:line="480" w:lineRule="exact"/>
        <w:ind w:firstLine="640" w:firstLineChars="200"/>
        <w:jc w:val="center"/>
        <w:rPr>
          <w:rFonts w:ascii="仿宋_GB2312" w:hAnsi="仿宋_GB2312" w:eastAsia="仿宋_GB2312" w:cs="仿宋_GB2312"/>
          <w:sz w:val="32"/>
          <w:szCs w:val="32"/>
        </w:rPr>
      </w:pPr>
      <w:r>
        <w:rPr>
          <w:rFonts w:ascii="仿宋_GB2312" w:hAnsi="仿宋_GB2312" w:eastAsia="仿宋_GB2312" w:cs="仿宋_GB2312"/>
          <w:sz w:val="32"/>
          <w:szCs w:val="32"/>
        </w:rPr>
        <w:t xml:space="preserve">                          2021</w:t>
      </w:r>
      <w:r>
        <w:rPr>
          <w:rFonts w:hint="eastAsia" w:ascii="仿宋_GB2312" w:hAnsi="仿宋_GB2312" w:eastAsia="仿宋_GB2312" w:cs="仿宋_GB2312"/>
          <w:sz w:val="32"/>
          <w:szCs w:val="32"/>
        </w:rPr>
        <w:t>年</w:t>
      </w:r>
      <w:r>
        <w:rPr>
          <w:rFonts w:ascii="仿宋_GB2312" w:hAnsi="仿宋_GB2312" w:eastAsia="仿宋_GB2312" w:cs="仿宋_GB2312"/>
          <w:sz w:val="32"/>
          <w:szCs w:val="32"/>
        </w:rPr>
        <w:t>9</w:t>
      </w:r>
      <w:r>
        <w:rPr>
          <w:rFonts w:hint="eastAsia" w:ascii="仿宋_GB2312" w:hAnsi="仿宋_GB2312" w:eastAsia="仿宋_GB2312" w:cs="仿宋_GB2312"/>
          <w:sz w:val="32"/>
          <w:szCs w:val="32"/>
        </w:rPr>
        <w:t>月</w:t>
      </w:r>
      <w:r>
        <w:rPr>
          <w:rFonts w:ascii="仿宋_GB2312" w:hAnsi="仿宋_GB2312" w:eastAsia="仿宋_GB2312" w:cs="仿宋_GB2312"/>
          <w:sz w:val="32"/>
          <w:szCs w:val="32"/>
        </w:rPr>
        <w:t>6</w:t>
      </w:r>
      <w:r>
        <w:rPr>
          <w:rFonts w:hint="eastAsia" w:ascii="仿宋_GB2312" w:hAnsi="仿宋_GB2312" w:eastAsia="仿宋_GB2312" w:cs="仿宋_GB2312"/>
          <w:sz w:val="32"/>
          <w:szCs w:val="32"/>
        </w:rPr>
        <w:t>日</w:t>
      </w:r>
    </w:p>
    <w:p>
      <w:pPr>
        <w:spacing w:line="400" w:lineRule="exact"/>
        <w:rPr>
          <w:rFonts w:ascii="宋体" w:cs="宋体"/>
          <w:sz w:val="24"/>
          <w:szCs w:val="24"/>
        </w:rPr>
      </w:pPr>
    </w:p>
    <w:p>
      <w:pPr>
        <w:spacing w:line="400" w:lineRule="exact"/>
        <w:rPr>
          <w:rFonts w:ascii="宋体" w:cs="宋体"/>
          <w:sz w:val="24"/>
          <w:szCs w:val="24"/>
        </w:rPr>
      </w:pPr>
    </w:p>
    <w:p>
      <w:pPr>
        <w:spacing w:line="400" w:lineRule="exact"/>
        <w:rPr>
          <w:rFonts w:ascii="宋体" w:cs="宋体"/>
          <w:sz w:val="24"/>
          <w:szCs w:val="24"/>
        </w:rPr>
      </w:pPr>
    </w:p>
    <w:p>
      <w:pPr>
        <w:spacing w:line="400" w:lineRule="exact"/>
        <w:rPr>
          <w:rFonts w:ascii="宋体" w:cs="宋体"/>
          <w:sz w:val="24"/>
          <w:szCs w:val="24"/>
        </w:rPr>
      </w:pPr>
    </w:p>
    <w:p>
      <w:pPr>
        <w:spacing w:line="400" w:lineRule="exact"/>
        <w:rPr>
          <w:rFonts w:ascii="宋体" w:cs="宋体"/>
          <w:sz w:val="24"/>
          <w:szCs w:val="24"/>
        </w:rPr>
      </w:pPr>
    </w:p>
    <w:p>
      <w:pPr>
        <w:spacing w:line="400" w:lineRule="exact"/>
        <w:rPr>
          <w:rFonts w:ascii="宋体" w:cs="宋体"/>
          <w:sz w:val="24"/>
          <w:szCs w:val="24"/>
        </w:rPr>
      </w:pPr>
    </w:p>
    <w:p>
      <w:pPr>
        <w:spacing w:line="400" w:lineRule="exact"/>
        <w:rPr>
          <w:rFonts w:ascii="宋体" w:cs="宋体"/>
          <w:sz w:val="24"/>
          <w:szCs w:val="24"/>
        </w:rPr>
      </w:pPr>
    </w:p>
    <w:p>
      <w:pPr>
        <w:spacing w:line="400" w:lineRule="exact"/>
        <w:rPr>
          <w:rFonts w:ascii="宋体" w:cs="宋体"/>
          <w:sz w:val="24"/>
          <w:szCs w:val="24"/>
        </w:rPr>
      </w:pPr>
    </w:p>
    <w:p>
      <w:pPr>
        <w:spacing w:line="400" w:lineRule="exact"/>
        <w:rPr>
          <w:rFonts w:ascii="宋体" w:cs="宋体"/>
          <w:sz w:val="24"/>
          <w:szCs w:val="24"/>
        </w:rPr>
      </w:pPr>
    </w:p>
    <w:p>
      <w:pPr>
        <w:spacing w:line="400" w:lineRule="exact"/>
        <w:rPr>
          <w:rFonts w:ascii="宋体" w:cs="宋体"/>
          <w:sz w:val="24"/>
          <w:szCs w:val="24"/>
        </w:rPr>
      </w:pPr>
    </w:p>
    <w:p>
      <w:pPr>
        <w:spacing w:line="400" w:lineRule="exact"/>
        <w:rPr>
          <w:rFonts w:ascii="宋体" w:cs="宋体"/>
          <w:sz w:val="24"/>
          <w:szCs w:val="24"/>
        </w:rPr>
      </w:pPr>
    </w:p>
    <w:p>
      <w:pPr>
        <w:spacing w:line="400" w:lineRule="exact"/>
        <w:rPr>
          <w:rFonts w:ascii="宋体" w:cs="宋体"/>
          <w:sz w:val="24"/>
          <w:szCs w:val="24"/>
        </w:rPr>
      </w:pPr>
    </w:p>
    <w:p>
      <w:pPr>
        <w:spacing w:line="400" w:lineRule="exact"/>
        <w:rPr>
          <w:rFonts w:ascii="宋体" w:cs="宋体"/>
          <w:sz w:val="24"/>
          <w:szCs w:val="24"/>
        </w:rPr>
      </w:pPr>
    </w:p>
    <w:p>
      <w:pPr>
        <w:spacing w:line="400" w:lineRule="exact"/>
        <w:rPr>
          <w:rFonts w:ascii="宋体" w:cs="宋体"/>
          <w:sz w:val="24"/>
          <w:szCs w:val="24"/>
        </w:rPr>
      </w:pPr>
    </w:p>
    <w:p>
      <w:pPr>
        <w:spacing w:line="400" w:lineRule="exact"/>
        <w:rPr>
          <w:rFonts w:ascii="宋体" w:cs="宋体"/>
          <w:sz w:val="24"/>
          <w:szCs w:val="24"/>
        </w:rPr>
      </w:pPr>
    </w:p>
    <w:p>
      <w:pPr>
        <w:spacing w:line="400" w:lineRule="exact"/>
        <w:rPr>
          <w:rFonts w:ascii="宋体" w:cs="宋体"/>
          <w:sz w:val="24"/>
          <w:szCs w:val="24"/>
        </w:rPr>
      </w:pPr>
    </w:p>
    <w:p>
      <w:pPr>
        <w:spacing w:line="400" w:lineRule="exact"/>
        <w:rPr>
          <w:rFonts w:ascii="宋体" w:cs="宋体"/>
          <w:sz w:val="24"/>
          <w:szCs w:val="24"/>
        </w:rPr>
      </w:pPr>
    </w:p>
    <w:p>
      <w:pPr>
        <w:spacing w:line="400" w:lineRule="exact"/>
        <w:rPr>
          <w:rFonts w:ascii="宋体" w:cs="宋体"/>
          <w:sz w:val="24"/>
          <w:szCs w:val="24"/>
        </w:rPr>
      </w:pPr>
    </w:p>
    <w:p>
      <w:pPr>
        <w:spacing w:line="400" w:lineRule="exact"/>
        <w:rPr>
          <w:rFonts w:ascii="宋体" w:cs="宋体"/>
          <w:sz w:val="24"/>
          <w:szCs w:val="24"/>
        </w:rPr>
      </w:pPr>
    </w:p>
    <w:p>
      <w:pPr>
        <w:spacing w:line="400" w:lineRule="exact"/>
        <w:rPr>
          <w:rFonts w:ascii="宋体" w:cs="宋体"/>
          <w:sz w:val="24"/>
          <w:szCs w:val="24"/>
        </w:rPr>
      </w:pPr>
    </w:p>
    <w:p>
      <w:pPr>
        <w:spacing w:line="400" w:lineRule="exact"/>
        <w:rPr>
          <w:rFonts w:ascii="宋体" w:cs="宋体"/>
          <w:sz w:val="24"/>
          <w:szCs w:val="24"/>
        </w:rPr>
      </w:pPr>
    </w:p>
    <w:p>
      <w:pPr>
        <w:spacing w:line="600" w:lineRule="exact"/>
        <w:rPr>
          <w:rFonts w:ascii="仿宋_GB2312" w:hAnsi="仿宋_GB2312" w:eastAsia="仿宋_GB2312" w:cs="仿宋_GB2312"/>
          <w:sz w:val="32"/>
          <w:szCs w:val="32"/>
          <w:u w:val="single"/>
        </w:rPr>
      </w:pPr>
      <w:r>
        <w:rPr>
          <w:rFonts w:hint="eastAsia" w:ascii="仿宋_GB2312" w:hAnsi="仿宋_GB2312" w:eastAsia="仿宋_GB2312" w:cs="仿宋_GB2312"/>
          <w:sz w:val="32"/>
          <w:szCs w:val="32"/>
        </w:rPr>
        <w:t>抄送：泰州市农业农村局</w:t>
      </w:r>
    </w:p>
    <w:p>
      <w:pPr>
        <w:spacing w:line="400" w:lineRule="exact"/>
        <w:rPr>
          <w:rFonts w:ascii="宋体" w:cs="宋体"/>
          <w:sz w:val="24"/>
          <w:szCs w:val="24"/>
        </w:rPr>
      </w:pPr>
    </w:p>
    <w:p>
      <w:pPr>
        <w:adjustRightInd w:val="0"/>
        <w:snapToGrid w:val="0"/>
        <w:spacing w:line="560" w:lineRule="exact"/>
        <w:rPr>
          <w:rFonts w:ascii="仿宋_GB2312" w:hAnsi="仿宋_GB2312" w:eastAsia="仿宋_GB2312" w:cs="仿宋_GB2312"/>
          <w:sz w:val="32"/>
          <w:szCs w:val="32"/>
        </w:rPr>
        <w:sectPr>
          <w:footerReference r:id="rId3" w:type="default"/>
          <w:pgSz w:w="11906" w:h="16838"/>
          <w:pgMar w:top="1701" w:right="1361" w:bottom="1417" w:left="1871" w:header="851" w:footer="1134" w:gutter="0"/>
          <w:pgNumType w:start="1"/>
          <w:cols w:space="0" w:num="1"/>
          <w:docGrid w:type="lines" w:linePitch="312" w:charSpace="0"/>
        </w:sectPr>
      </w:pPr>
    </w:p>
    <w:p>
      <w:pPr>
        <w:adjustRightInd w:val="0"/>
        <w:snapToGrid w:val="0"/>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附件</w:t>
      </w:r>
      <w:r>
        <w:rPr>
          <w:rFonts w:ascii="仿宋_GB2312" w:hAnsi="仿宋_GB2312" w:eastAsia="仿宋_GB2312" w:cs="仿宋_GB2312"/>
          <w:sz w:val="32"/>
          <w:szCs w:val="32"/>
        </w:rPr>
        <w:t>1</w:t>
      </w:r>
    </w:p>
    <w:p>
      <w:pPr>
        <w:adjustRightInd w:val="0"/>
        <w:snapToGrid w:val="0"/>
        <w:spacing w:line="560" w:lineRule="exact"/>
        <w:rPr>
          <w:rFonts w:ascii="宋体" w:cs="宋体"/>
          <w:sz w:val="30"/>
          <w:szCs w:val="30"/>
        </w:rPr>
      </w:pPr>
    </w:p>
    <w:p>
      <w:pPr>
        <w:adjustRightInd w:val="0"/>
        <w:snapToGrid w:val="0"/>
        <w:spacing w:line="680" w:lineRule="exac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海陵区农机购置补贴工作方案制订制度</w:t>
      </w:r>
    </w:p>
    <w:p>
      <w:pPr>
        <w:adjustRightInd w:val="0"/>
        <w:snapToGrid w:val="0"/>
        <w:spacing w:line="560" w:lineRule="exact"/>
        <w:jc w:val="center"/>
        <w:rPr>
          <w:rFonts w:ascii="宋体" w:cs="宋体"/>
          <w:sz w:val="30"/>
          <w:szCs w:val="30"/>
        </w:rPr>
      </w:pP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为切实做好</w:t>
      </w:r>
      <w:r>
        <w:rPr>
          <w:rFonts w:ascii="仿宋_GB2312" w:hAnsi="仿宋_GB2312" w:eastAsia="仿宋_GB2312" w:cs="仿宋_GB2312"/>
          <w:sz w:val="32"/>
          <w:szCs w:val="32"/>
        </w:rPr>
        <w:t>2021-2023</w:t>
      </w:r>
      <w:r>
        <w:rPr>
          <w:rFonts w:hint="eastAsia" w:ascii="仿宋_GB2312" w:hAnsi="仿宋_GB2312" w:eastAsia="仿宋_GB2312" w:cs="仿宋_GB2312"/>
          <w:sz w:val="32"/>
          <w:szCs w:val="32"/>
        </w:rPr>
        <w:t>年农机购置补贴工作，科学规范制订可操作性和适用性强的农机购置补贴实施方案，根据《</w:t>
      </w:r>
      <w:r>
        <w:rPr>
          <w:rFonts w:ascii="仿宋_GB2312" w:hAnsi="仿宋_GB2312" w:eastAsia="仿宋_GB2312" w:cs="仿宋_GB2312"/>
          <w:sz w:val="32"/>
          <w:szCs w:val="32"/>
        </w:rPr>
        <w:t>2021-2023</w:t>
      </w:r>
      <w:r>
        <w:rPr>
          <w:rFonts w:hint="eastAsia" w:ascii="仿宋_GB2312" w:hAnsi="仿宋_GB2312" w:eastAsia="仿宋_GB2312" w:cs="仿宋_GB2312"/>
          <w:sz w:val="32"/>
          <w:szCs w:val="32"/>
        </w:rPr>
        <w:t>年江苏省农业机械购置补贴实施意见》（苏农机〔</w:t>
      </w: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13</w:t>
      </w:r>
      <w:r>
        <w:rPr>
          <w:rFonts w:hint="eastAsia" w:ascii="仿宋_GB2312" w:hAnsi="仿宋_GB2312" w:eastAsia="仿宋_GB2312" w:cs="仿宋_GB2312"/>
          <w:sz w:val="32"/>
          <w:szCs w:val="32"/>
        </w:rPr>
        <w:t>号）要求，特制定本制度。</w:t>
      </w:r>
    </w:p>
    <w:p>
      <w:pPr>
        <w:adjustRightInd w:val="0"/>
        <w:snapToGrid w:val="0"/>
        <w:spacing w:line="560" w:lineRule="exact"/>
        <w:ind w:firstLine="64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一、农机购置补贴工作方案制订内容</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结合我区实际情况，根据省农业农村厅《</w:t>
      </w:r>
      <w:r>
        <w:rPr>
          <w:rFonts w:ascii="仿宋_GB2312" w:hAnsi="仿宋_GB2312" w:eastAsia="仿宋_GB2312" w:cs="仿宋_GB2312"/>
          <w:sz w:val="32"/>
          <w:szCs w:val="32"/>
        </w:rPr>
        <w:t>2021-2023</w:t>
      </w:r>
      <w:r>
        <w:rPr>
          <w:rFonts w:hint="eastAsia" w:ascii="仿宋_GB2312" w:hAnsi="仿宋_GB2312" w:eastAsia="仿宋_GB2312" w:cs="仿宋_GB2312"/>
          <w:sz w:val="32"/>
          <w:szCs w:val="32"/>
        </w:rPr>
        <w:t>年江苏省农业机械购置补贴实施意见》（苏农机〔</w:t>
      </w: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13</w:t>
      </w:r>
      <w:r>
        <w:rPr>
          <w:rFonts w:hint="eastAsia" w:ascii="仿宋_GB2312" w:hAnsi="仿宋_GB2312" w:eastAsia="仿宋_GB2312" w:cs="仿宋_GB2312"/>
          <w:sz w:val="32"/>
          <w:szCs w:val="32"/>
        </w:rPr>
        <w:t>号）文件要求，从实施重点、补贴范围和补贴机具、补贴对象和补贴标准、资金分配与使用、操作流程、实施要求等方面对农机购置补贴工作内容进行明确和细化。</w:t>
      </w:r>
    </w:p>
    <w:p>
      <w:pPr>
        <w:adjustRightInd w:val="0"/>
        <w:snapToGrid w:val="0"/>
        <w:spacing w:line="56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工作方案立足于省级年度农机购置补贴实施办法为基础，对直接从事农机购置补贴实施工作的部门职责、业务流程和业务环节进行明确，并就具体事项进行合规性审查，确保政策实施依法依规。</w:t>
      </w:r>
    </w:p>
    <w:p>
      <w:pPr>
        <w:adjustRightInd w:val="0"/>
        <w:snapToGrid w:val="0"/>
        <w:spacing w:line="560" w:lineRule="exact"/>
        <w:ind w:firstLine="64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二、农机购置补贴工作方案制订流程</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（一）前期资料搜集准备</w:t>
      </w:r>
      <w:r>
        <w:rPr>
          <w:rFonts w:ascii="仿宋_GB2312" w:hAnsi="仿宋_GB2312" w:eastAsia="仿宋_GB2312" w:cs="仿宋_GB2312"/>
          <w:sz w:val="32"/>
          <w:szCs w:val="32"/>
        </w:rPr>
        <w:t xml:space="preserve"> </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区农业农村局将上年度农机购置补贴实施情况进行梳理总结和通报，进一步完善本年度实施方案内容。</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（二）编制年度补贴工作方案</w:t>
      </w:r>
    </w:p>
    <w:p>
      <w:pPr>
        <w:adjustRightInd w:val="0"/>
        <w:snapToGrid w:val="0"/>
        <w:spacing w:line="560" w:lineRule="exact"/>
        <w:ind w:firstLine="480"/>
        <w:rPr>
          <w:rFonts w:ascii="仿宋_GB2312" w:hAnsi="仿宋_GB2312" w:eastAsia="仿宋_GB2312" w:cs="仿宋_GB2312"/>
          <w:sz w:val="32"/>
          <w:szCs w:val="32"/>
        </w:rPr>
      </w:pPr>
      <w:r>
        <w:rPr>
          <w:rFonts w:ascii="仿宋_GB2312" w:hAnsi="仿宋_GB2312" w:eastAsia="仿宋_GB2312" w:cs="仿宋_GB2312"/>
          <w:b/>
          <w:sz w:val="32"/>
          <w:szCs w:val="32"/>
        </w:rPr>
        <w:t xml:space="preserve"> </w:t>
      </w:r>
      <w:r>
        <w:rPr>
          <w:rFonts w:hint="eastAsia" w:ascii="仿宋_GB2312" w:hAnsi="仿宋_GB2312" w:eastAsia="仿宋_GB2312" w:cs="仿宋_GB2312"/>
          <w:sz w:val="32"/>
          <w:szCs w:val="32"/>
        </w:rPr>
        <w:t>区农业农村局根据省级年度农机购置补贴实施办法，结合年度农业和农机化发展目标等，拟定当年度区工作方案，并送财政局征求意见。</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（三）按部门拟定职责</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区农业农村局和财政局按职能完善部门具体职责，并将职责具体分解到内设机构。</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（四）按部门内部分解职能</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领导机构成员单位内设机构补充完善工作职能，并落实专人负责相关业务。</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（五）印发工作方案</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区农业农村局和财政局两部门联合行文下发，并组织开展政策宣传。</w:t>
      </w:r>
    </w:p>
    <w:p>
      <w:pPr>
        <w:adjustRightInd w:val="0"/>
        <w:snapToGrid w:val="0"/>
        <w:spacing w:line="560" w:lineRule="exact"/>
        <w:ind w:firstLine="630"/>
        <w:rPr>
          <w:rFonts w:ascii="仿宋_GB2312" w:hAnsi="仿宋_GB2312" w:eastAsia="仿宋_GB2312" w:cs="仿宋_GB2312"/>
          <w:sz w:val="32"/>
          <w:szCs w:val="32"/>
        </w:rPr>
      </w:pPr>
      <w:r>
        <w:rPr>
          <w:rFonts w:hint="eastAsia" w:ascii="仿宋_GB2312" w:hAnsi="仿宋_GB2312" w:eastAsia="仿宋_GB2312" w:cs="仿宋_GB2312"/>
          <w:sz w:val="32"/>
          <w:szCs w:val="32"/>
        </w:rPr>
        <w:t>（六）按部门开展工作（公开和上报方案）</w:t>
      </w:r>
    </w:p>
    <w:p>
      <w:pPr>
        <w:adjustRightInd w:val="0"/>
        <w:snapToGrid w:val="0"/>
        <w:spacing w:line="560" w:lineRule="exact"/>
        <w:ind w:firstLine="630"/>
        <w:rPr>
          <w:rFonts w:ascii="仿宋_GB2312" w:hAnsi="仿宋_GB2312" w:eastAsia="仿宋_GB2312" w:cs="仿宋_GB2312"/>
          <w:sz w:val="32"/>
          <w:szCs w:val="32"/>
        </w:rPr>
      </w:pPr>
      <w:r>
        <w:rPr>
          <w:rFonts w:hint="eastAsia" w:ascii="仿宋_GB2312" w:hAnsi="仿宋_GB2312" w:eastAsia="仿宋_GB2312" w:cs="仿宋_GB2312"/>
          <w:sz w:val="32"/>
          <w:szCs w:val="32"/>
        </w:rPr>
        <w:t>各部门按年度工作方案完成具体工作任务，并定期形成规范信息进行主动公开，区农业农村局按照要求向上级部门报送工作方案、信息和总结等材料。</w:t>
      </w:r>
    </w:p>
    <w:p>
      <w:pPr>
        <w:adjustRightInd w:val="0"/>
        <w:snapToGrid w:val="0"/>
        <w:spacing w:line="560" w:lineRule="exact"/>
        <w:ind w:firstLine="64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三、风险点及防控应对策略（风险等级</w:t>
      </w:r>
      <w:r>
        <w:rPr>
          <w:rFonts w:ascii="方正黑体_GBK" w:hAnsi="方正黑体_GBK" w:eastAsia="方正黑体_GBK" w:cs="方正黑体_GBK"/>
          <w:sz w:val="32"/>
          <w:szCs w:val="32"/>
        </w:rPr>
        <w:t xml:space="preserve"> </w:t>
      </w:r>
      <w:r>
        <w:rPr>
          <w:rFonts w:hint="eastAsia" w:ascii="方正黑体_GBK" w:hAnsi="方正黑体_GBK" w:eastAsia="方正黑体_GBK" w:cs="方正黑体_GBK"/>
          <w:sz w:val="32"/>
          <w:szCs w:val="32"/>
        </w:rPr>
        <w:t>：重大）</w:t>
      </w:r>
    </w:p>
    <w:tbl>
      <w:tblPr>
        <w:tblStyle w:val="6"/>
        <w:tblW w:w="934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428"/>
        <w:gridCol w:w="49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28" w:type="dxa"/>
          </w:tcPr>
          <w:p>
            <w:pPr>
              <w:jc w:val="center"/>
              <w:rPr>
                <w:rFonts w:ascii="方正小标宋_GBK" w:hAnsi="方正小标宋_GBK" w:eastAsia="方正小标宋_GBK" w:cs="方正小标宋_GBK"/>
                <w:sz w:val="32"/>
                <w:szCs w:val="32"/>
              </w:rPr>
            </w:pPr>
            <w:r>
              <w:rPr>
                <w:rFonts w:hint="eastAsia" w:ascii="方正小标宋_GBK" w:hAnsi="方正小标宋_GBK" w:eastAsia="方正小标宋_GBK" w:cs="方正小标宋_GBK"/>
                <w:sz w:val="32"/>
                <w:szCs w:val="32"/>
              </w:rPr>
              <w:t>风险点</w:t>
            </w:r>
          </w:p>
        </w:tc>
        <w:tc>
          <w:tcPr>
            <w:tcW w:w="4916" w:type="dxa"/>
          </w:tcPr>
          <w:p>
            <w:pPr>
              <w:jc w:val="center"/>
              <w:rPr>
                <w:rFonts w:ascii="方正小标宋_GBK" w:hAnsi="方正小标宋_GBK" w:eastAsia="方正小标宋_GBK" w:cs="方正小标宋_GBK"/>
                <w:sz w:val="32"/>
                <w:szCs w:val="32"/>
              </w:rPr>
            </w:pPr>
            <w:r>
              <w:rPr>
                <w:rFonts w:hint="eastAsia" w:ascii="方正小标宋_GBK" w:hAnsi="方正小标宋_GBK" w:eastAsia="方正小标宋_GBK" w:cs="方正小标宋_GBK"/>
                <w:sz w:val="32"/>
                <w:szCs w:val="32"/>
              </w:rPr>
              <w:t>防控应对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28" w:type="dxa"/>
          </w:tcPr>
          <w:p>
            <w:pPr>
              <w:jc w:val="center"/>
              <w:rPr>
                <w:rFonts w:ascii="楷体" w:hAnsi="楷体" w:eastAsia="楷体" w:cs="楷体"/>
                <w:sz w:val="32"/>
                <w:szCs w:val="32"/>
              </w:rPr>
            </w:pPr>
            <w:r>
              <w:rPr>
                <w:rFonts w:hint="eastAsia" w:ascii="楷体" w:hAnsi="楷体" w:eastAsia="楷体" w:cs="楷体"/>
                <w:sz w:val="32"/>
                <w:szCs w:val="32"/>
              </w:rPr>
              <w:t>工作方案制订是否科学</w:t>
            </w:r>
          </w:p>
        </w:tc>
        <w:tc>
          <w:tcPr>
            <w:tcW w:w="4916" w:type="dxa"/>
          </w:tcPr>
          <w:p>
            <w:pPr>
              <w:jc w:val="center"/>
              <w:rPr>
                <w:rFonts w:ascii="楷体" w:hAnsi="楷体" w:eastAsia="楷体" w:cs="楷体"/>
                <w:sz w:val="32"/>
                <w:szCs w:val="32"/>
              </w:rPr>
            </w:pPr>
            <w:r>
              <w:rPr>
                <w:rFonts w:hint="eastAsia" w:ascii="楷体" w:hAnsi="楷体" w:eastAsia="楷体" w:cs="楷体"/>
                <w:sz w:val="32"/>
                <w:szCs w:val="32"/>
              </w:rPr>
              <w:t>多部门共同联合制定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28" w:type="dxa"/>
          </w:tcPr>
          <w:p>
            <w:pPr>
              <w:jc w:val="center"/>
              <w:rPr>
                <w:rFonts w:ascii="楷体" w:hAnsi="楷体" w:eastAsia="楷体" w:cs="楷体"/>
                <w:sz w:val="32"/>
                <w:szCs w:val="32"/>
              </w:rPr>
            </w:pPr>
            <w:r>
              <w:rPr>
                <w:rFonts w:hint="eastAsia" w:ascii="楷体" w:hAnsi="楷体" w:eastAsia="楷体" w:cs="楷体"/>
                <w:sz w:val="32"/>
                <w:szCs w:val="32"/>
              </w:rPr>
              <w:t>工作方案制订是否合理</w:t>
            </w:r>
          </w:p>
        </w:tc>
        <w:tc>
          <w:tcPr>
            <w:tcW w:w="4916" w:type="dxa"/>
          </w:tcPr>
          <w:p>
            <w:pPr>
              <w:jc w:val="center"/>
              <w:rPr>
                <w:rFonts w:ascii="楷体" w:hAnsi="楷体" w:eastAsia="楷体" w:cs="楷体"/>
                <w:sz w:val="32"/>
                <w:szCs w:val="32"/>
              </w:rPr>
            </w:pPr>
            <w:r>
              <w:rPr>
                <w:rFonts w:hint="eastAsia" w:ascii="楷体" w:hAnsi="楷体" w:eastAsia="楷体" w:cs="楷体"/>
                <w:sz w:val="32"/>
                <w:szCs w:val="32"/>
              </w:rPr>
              <w:t>建立内部审核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428" w:type="dxa"/>
          </w:tcPr>
          <w:p>
            <w:pPr>
              <w:jc w:val="center"/>
              <w:rPr>
                <w:rFonts w:ascii="楷体" w:hAnsi="楷体" w:eastAsia="楷体" w:cs="楷体"/>
                <w:sz w:val="32"/>
                <w:szCs w:val="32"/>
              </w:rPr>
            </w:pPr>
            <w:r>
              <w:rPr>
                <w:rFonts w:hint="eastAsia" w:ascii="楷体" w:hAnsi="楷体" w:eastAsia="楷体" w:cs="楷体"/>
                <w:sz w:val="32"/>
                <w:szCs w:val="32"/>
              </w:rPr>
              <w:t>工作方案制订是否有效</w:t>
            </w:r>
          </w:p>
        </w:tc>
        <w:tc>
          <w:tcPr>
            <w:tcW w:w="4916" w:type="dxa"/>
          </w:tcPr>
          <w:p>
            <w:pPr>
              <w:jc w:val="center"/>
              <w:rPr>
                <w:rFonts w:ascii="楷体" w:hAnsi="楷体" w:eastAsia="楷体" w:cs="楷体"/>
                <w:sz w:val="32"/>
                <w:szCs w:val="32"/>
              </w:rPr>
            </w:pPr>
            <w:r>
              <w:rPr>
                <w:rFonts w:hint="eastAsia" w:ascii="楷体" w:hAnsi="楷体" w:eastAsia="楷体" w:cs="楷体"/>
                <w:sz w:val="32"/>
                <w:szCs w:val="32"/>
              </w:rPr>
              <w:t>定期形成规范信息进行主动公开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28" w:type="dxa"/>
          </w:tcPr>
          <w:p>
            <w:pPr>
              <w:jc w:val="center"/>
              <w:rPr>
                <w:rFonts w:ascii="楷体" w:hAnsi="楷体" w:eastAsia="楷体" w:cs="楷体"/>
                <w:sz w:val="32"/>
                <w:szCs w:val="32"/>
              </w:rPr>
            </w:pPr>
            <w:r>
              <w:rPr>
                <w:rFonts w:hint="eastAsia" w:ascii="楷体" w:hAnsi="楷体" w:eastAsia="楷体" w:cs="楷体"/>
                <w:sz w:val="32"/>
                <w:szCs w:val="32"/>
              </w:rPr>
              <w:t>部门职责是否明确到位</w:t>
            </w:r>
          </w:p>
        </w:tc>
        <w:tc>
          <w:tcPr>
            <w:tcW w:w="4916" w:type="dxa"/>
          </w:tcPr>
          <w:p>
            <w:pPr>
              <w:jc w:val="center"/>
              <w:rPr>
                <w:rFonts w:ascii="楷体" w:hAnsi="楷体" w:eastAsia="楷体" w:cs="楷体"/>
                <w:sz w:val="32"/>
                <w:szCs w:val="32"/>
              </w:rPr>
            </w:pPr>
            <w:r>
              <w:rPr>
                <w:rFonts w:hint="eastAsia" w:ascii="楷体" w:hAnsi="楷体" w:eastAsia="楷体" w:cs="楷体"/>
                <w:sz w:val="32"/>
                <w:szCs w:val="32"/>
              </w:rPr>
              <w:t>建立部门职责内部审查制度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28" w:type="dxa"/>
          </w:tcPr>
          <w:p>
            <w:pPr>
              <w:jc w:val="center"/>
              <w:rPr>
                <w:rFonts w:ascii="楷体" w:hAnsi="楷体" w:eastAsia="楷体" w:cs="楷体"/>
                <w:sz w:val="32"/>
                <w:szCs w:val="32"/>
              </w:rPr>
            </w:pPr>
            <w:r>
              <w:rPr>
                <w:rFonts w:hint="eastAsia" w:ascii="楷体" w:hAnsi="楷体" w:eastAsia="楷体" w:cs="楷体"/>
                <w:sz w:val="32"/>
                <w:szCs w:val="32"/>
              </w:rPr>
              <w:t>关键岗位职责是否到位</w:t>
            </w:r>
          </w:p>
        </w:tc>
        <w:tc>
          <w:tcPr>
            <w:tcW w:w="4916" w:type="dxa"/>
          </w:tcPr>
          <w:p>
            <w:pPr>
              <w:jc w:val="center"/>
              <w:rPr>
                <w:rFonts w:ascii="楷体" w:hAnsi="楷体" w:eastAsia="楷体" w:cs="楷体"/>
                <w:sz w:val="32"/>
                <w:szCs w:val="32"/>
              </w:rPr>
            </w:pPr>
            <w:r>
              <w:rPr>
                <w:rFonts w:hint="eastAsia" w:ascii="楷体" w:hAnsi="楷体" w:eastAsia="楷体" w:cs="楷体"/>
                <w:sz w:val="32"/>
                <w:szCs w:val="32"/>
              </w:rPr>
              <w:t>建立业务岗位责任制度</w:t>
            </w:r>
          </w:p>
        </w:tc>
      </w:tr>
    </w:tbl>
    <w:p>
      <w:pPr>
        <w:adjustRightInd w:val="0"/>
        <w:snapToGrid w:val="0"/>
        <w:spacing w:line="560" w:lineRule="exact"/>
        <w:rPr>
          <w:rFonts w:ascii="仿宋_GB2312" w:hAnsi="仿宋_GB2312" w:eastAsia="仿宋_GB2312" w:cs="仿宋_GB2312"/>
          <w:sz w:val="32"/>
          <w:szCs w:val="32"/>
        </w:rPr>
      </w:pPr>
    </w:p>
    <w:p>
      <w:pPr>
        <w:adjustRightInd w:val="0"/>
        <w:snapToGrid w:val="0"/>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附件</w:t>
      </w:r>
      <w:r>
        <w:rPr>
          <w:rFonts w:ascii="仿宋_GB2312" w:hAnsi="仿宋_GB2312" w:eastAsia="仿宋_GB2312" w:cs="仿宋_GB2312"/>
          <w:sz w:val="32"/>
          <w:szCs w:val="32"/>
        </w:rPr>
        <w:t>2</w:t>
      </w:r>
    </w:p>
    <w:p>
      <w:pPr>
        <w:adjustRightInd w:val="0"/>
        <w:snapToGrid w:val="0"/>
        <w:spacing w:line="680" w:lineRule="exac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海陵区农机购置补贴申请受理</w:t>
      </w:r>
    </w:p>
    <w:p>
      <w:pPr>
        <w:adjustRightInd w:val="0"/>
        <w:snapToGrid w:val="0"/>
        <w:spacing w:line="680" w:lineRule="exac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审核与结算制度</w:t>
      </w:r>
    </w:p>
    <w:p>
      <w:pPr>
        <w:adjustRightInd w:val="0"/>
        <w:snapToGrid w:val="0"/>
        <w:spacing w:line="400" w:lineRule="exact"/>
        <w:jc w:val="center"/>
        <w:rPr>
          <w:rFonts w:ascii="仿宋_GB2312" w:hAnsi="仿宋_GB2312" w:eastAsia="仿宋_GB2312" w:cs="仿宋_GB2312"/>
          <w:sz w:val="32"/>
          <w:szCs w:val="32"/>
        </w:rPr>
      </w:pPr>
    </w:p>
    <w:p>
      <w:pPr>
        <w:adjustRightInd w:val="0"/>
        <w:snapToGrid w:val="0"/>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农机购置补贴政策实行“品目管理、自主购机、先购后补、乡镇受理、县级结算、直补到卡”的方式。为规范海陵区农机购置补贴申请受理、审核与结算环节，特制定本制度。</w:t>
      </w:r>
    </w:p>
    <w:p>
      <w:pPr>
        <w:adjustRightInd w:val="0"/>
        <w:snapToGrid w:val="0"/>
        <w:spacing w:line="540" w:lineRule="exact"/>
        <w:ind w:firstLine="64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一、补贴对象</w:t>
      </w:r>
    </w:p>
    <w:p>
      <w:pPr>
        <w:adjustRightInd w:val="0"/>
        <w:snapToGrid w:val="0"/>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我区行政区域内从事农业生产的个人和农业生产经营组织（以下简称“购机者”），其中农业生产经营组织包括农村集体经济组织、农民专业合作经济组织、农业企业和其他从事农业生产经营的组织。</w:t>
      </w:r>
    </w:p>
    <w:p>
      <w:pPr>
        <w:adjustRightInd w:val="0"/>
        <w:snapToGrid w:val="0"/>
        <w:spacing w:line="540" w:lineRule="exact"/>
        <w:ind w:firstLine="64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二、业务流程</w:t>
      </w:r>
    </w:p>
    <w:p>
      <w:pPr>
        <w:adjustRightInd w:val="0"/>
        <w:snapToGrid w:val="0"/>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获得农机购置补贴须由购机者提出申请，由镇（街道）农业农村局受理核实，区农业农村局会同财政局审核和结算补贴资金。购机者和农机产销企业分别对其提交的农机购置补贴相关申请材料和购买机具的真实性承担法律责任。具体工作流程为：购机者申请→镇（街道）农业农村局受理归档材料、审核补贴对象、发票签注→镇（街道）农业农村局将数据录入管理系统、核验机具等→镇（街道）农业农村局材料归档→镇（街道）农业农村局出具初审意见→镇（街道）农业农村局上报结算意见→区农业农村局审核材料、公示信息→区农业农村局报送结算审核意见→区财政局复核材料、兑付资金。</w:t>
      </w:r>
    </w:p>
    <w:p>
      <w:pPr>
        <w:adjustRightInd w:val="0"/>
        <w:snapToGrid w:val="0"/>
        <w:spacing w:line="560" w:lineRule="exact"/>
        <w:ind w:firstLine="640" w:firstLineChars="200"/>
        <w:rPr>
          <w:rFonts w:ascii="宋体" w:cs="宋体"/>
          <w:sz w:val="32"/>
          <w:szCs w:val="32"/>
        </w:rPr>
      </w:pPr>
    </w:p>
    <w:p>
      <w:pPr>
        <w:adjustRightInd w:val="0"/>
        <w:snapToGrid w:val="0"/>
        <w:spacing w:line="560" w:lineRule="exact"/>
        <w:ind w:firstLine="640" w:firstLineChars="200"/>
        <w:rPr>
          <w:rFonts w:ascii="宋体" w:cs="宋体"/>
          <w:sz w:val="32"/>
          <w:szCs w:val="32"/>
        </w:rPr>
      </w:pPr>
    </w:p>
    <w:p>
      <w:pPr>
        <w:rPr>
          <w:rFonts w:ascii="仿宋_GB2312" w:hAnsi="仿宋_GB2312" w:eastAsia="仿宋_GB2312" w:cs="仿宋_GB2312"/>
          <w:sz w:val="32"/>
          <w:szCs w:val="32"/>
        </w:rPr>
      </w:pPr>
    </w:p>
    <w:p>
      <w:pPr>
        <w:rPr>
          <w:rFonts w:ascii="仿宋_GB2312" w:hAnsi="仿宋_GB2312" w:eastAsia="仿宋_GB2312" w:cs="仿宋_GB2312"/>
          <w:sz w:val="32"/>
          <w:szCs w:val="32"/>
        </w:rPr>
      </w:pPr>
    </w:p>
    <w:p>
      <w:pPr>
        <w:rPr>
          <w:rFonts w:ascii="仿宋_GB2312" w:hAnsi="仿宋_GB2312" w:eastAsia="仿宋_GB2312" w:cs="仿宋_GB2312"/>
          <w:sz w:val="32"/>
          <w:szCs w:val="32"/>
        </w:rPr>
      </w:pPr>
    </w:p>
    <w:p>
      <w:pPr>
        <w:rPr>
          <w:rFonts w:ascii="仿宋_GB2312" w:hAnsi="仿宋_GB2312" w:eastAsia="仿宋_GB2312" w:cs="仿宋_GB2312"/>
          <w:sz w:val="32"/>
          <w:szCs w:val="32"/>
        </w:rPr>
      </w:pPr>
    </w:p>
    <w:p>
      <w:pPr>
        <w:rPr>
          <w:rFonts w:ascii="仿宋_GB2312" w:hAnsi="仿宋_GB2312" w:eastAsia="仿宋_GB2312" w:cs="仿宋_GB2312"/>
          <w:sz w:val="32"/>
          <w:szCs w:val="32"/>
        </w:rPr>
      </w:pPr>
      <w:r>
        <w:rPr>
          <w:rFonts w:ascii="仿宋_GB2312" w:hAnsi="仿宋_GB2312" w:eastAsia="仿宋_GB2312" w:cs="仿宋_GB2312"/>
          <w:sz w:val="32"/>
          <w:szCs w:val="32"/>
        </w:rPr>
        <w:drawing>
          <wp:inline distT="0" distB="0" distL="0" distR="0">
            <wp:extent cx="5495925" cy="3657600"/>
            <wp:effectExtent l="19050" t="0" r="9525" b="0"/>
            <wp:docPr id="1" name="图片 3" descr="江苏省农机购置补贴流程图（2021-2023年）（线下办理）"/>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3" descr="江苏省农机购置补贴流程图（2021-2023年）（线下办理）"/>
                    <pic:cNvPicPr>
                      <a:picLocks noChangeAspect="1" noChangeArrowheads="1"/>
                    </pic:cNvPicPr>
                  </pic:nvPicPr>
                  <pic:blipFill>
                    <a:blip r:embed="rId6"/>
                    <a:srcRect/>
                    <a:stretch>
                      <a:fillRect/>
                    </a:stretch>
                  </pic:blipFill>
                  <pic:spPr>
                    <a:xfrm>
                      <a:off x="0" y="0"/>
                      <a:ext cx="5495925" cy="3657600"/>
                    </a:xfrm>
                    <a:prstGeom prst="rect">
                      <a:avLst/>
                    </a:prstGeom>
                    <a:noFill/>
                    <a:ln w="9525">
                      <a:noFill/>
                      <a:miter lim="800000"/>
                      <a:headEnd/>
                      <a:tailEnd/>
                    </a:ln>
                  </pic:spPr>
                </pic:pic>
              </a:graphicData>
            </a:graphic>
          </wp:inline>
        </w:drawing>
      </w:r>
    </w:p>
    <w:p>
      <w:pPr>
        <w:rPr>
          <w:rFonts w:ascii="仿宋_GB2312" w:hAnsi="仿宋_GB2312" w:eastAsia="仿宋_GB2312" w:cs="仿宋_GB2312"/>
          <w:sz w:val="32"/>
          <w:szCs w:val="32"/>
        </w:rPr>
      </w:pPr>
    </w:p>
    <w:p>
      <w:pPr>
        <w:rPr>
          <w:rFonts w:ascii="仿宋_GB2312" w:hAnsi="仿宋_GB2312" w:eastAsia="仿宋_GB2312" w:cs="仿宋_GB2312"/>
          <w:sz w:val="32"/>
          <w:szCs w:val="32"/>
        </w:rPr>
      </w:pPr>
      <w:r>
        <w:rPr>
          <w:rFonts w:ascii="仿宋_GB2312" w:hAnsi="仿宋_GB2312" w:eastAsia="仿宋_GB2312" w:cs="仿宋_GB2312"/>
          <w:sz w:val="32"/>
          <w:szCs w:val="32"/>
        </w:rPr>
        <w:drawing>
          <wp:inline distT="0" distB="0" distL="0" distR="0">
            <wp:extent cx="5505450" cy="7781925"/>
            <wp:effectExtent l="19050" t="0" r="0" b="0"/>
            <wp:docPr id="2" name="图片 4" descr="江苏省农机购置补贴申请办理服务系统（2021-2023）流程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4" descr="江苏省农机购置补贴申请办理服务系统（2021-2023）流程图"/>
                    <pic:cNvPicPr>
                      <a:picLocks noChangeAspect="1" noChangeArrowheads="1"/>
                    </pic:cNvPicPr>
                  </pic:nvPicPr>
                  <pic:blipFill>
                    <a:blip r:embed="rId7"/>
                    <a:srcRect/>
                    <a:stretch>
                      <a:fillRect/>
                    </a:stretch>
                  </pic:blipFill>
                  <pic:spPr>
                    <a:xfrm>
                      <a:off x="0" y="0"/>
                      <a:ext cx="5505450" cy="7781925"/>
                    </a:xfrm>
                    <a:prstGeom prst="rect">
                      <a:avLst/>
                    </a:prstGeom>
                    <a:noFill/>
                    <a:ln w="9525">
                      <a:noFill/>
                      <a:miter lim="800000"/>
                      <a:headEnd/>
                      <a:tailEnd/>
                    </a:ln>
                  </pic:spPr>
                </pic:pic>
              </a:graphicData>
            </a:graphic>
          </wp:inline>
        </w:drawing>
      </w:r>
    </w:p>
    <w:p>
      <w:pPr>
        <w:rPr>
          <w:rFonts w:ascii="仿宋_GB2312" w:hAnsi="仿宋_GB2312" w:eastAsia="仿宋_GB2312" w:cs="仿宋_GB2312"/>
          <w:sz w:val="32"/>
          <w:szCs w:val="32"/>
        </w:rPr>
      </w:pPr>
    </w:p>
    <w:p>
      <w:pPr>
        <w:rPr>
          <w:rFonts w:ascii="仿宋_GB2312" w:hAnsi="仿宋_GB2312" w:eastAsia="仿宋_GB2312" w:cs="仿宋_GB2312"/>
          <w:sz w:val="32"/>
          <w:szCs w:val="32"/>
        </w:rPr>
      </w:pPr>
    </w:p>
    <w:p>
      <w:pPr>
        <w:adjustRightInd w:val="0"/>
        <w:snapToGrid w:val="0"/>
        <w:spacing w:line="540" w:lineRule="exact"/>
        <w:ind w:firstLine="64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三、业务环节</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（一）自主购机。购机者到符合条件的供货单位自主办理购机手续，对购机行为和购买机具的真实性负责，承担相应责任义务。</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（二）销售机具。供货单位向购机者出具发票并提供机具、加盖公章后的参与补贴政策实施承诺书。购机者通过手机</w:t>
      </w:r>
      <w:r>
        <w:rPr>
          <w:rFonts w:ascii="仿宋_GB2312" w:hAnsi="仿宋_GB2312" w:eastAsia="仿宋_GB2312" w:cs="仿宋_GB2312"/>
          <w:sz w:val="32"/>
          <w:szCs w:val="32"/>
        </w:rPr>
        <w:t>APP</w:t>
      </w:r>
      <w:r>
        <w:rPr>
          <w:rFonts w:hint="eastAsia" w:ascii="仿宋_GB2312" w:hAnsi="仿宋_GB2312" w:eastAsia="仿宋_GB2312" w:cs="仿宋_GB2312"/>
          <w:sz w:val="32"/>
          <w:szCs w:val="32"/>
        </w:rPr>
        <w:t>或直接到镇（街道）农业农村局办理相关补贴手续。供货单位做好协助工作。</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申请补贴。购机者提交身份证明原件和复印件、发票原件和复印件、购机者账号复印件等材料，实行牌照管理和农机报废更新的机具按有关规定提供证明，到镇（街道）农业农村局申请补贴。购置相关安装设备的，完成安装验收后，再按规定办理补贴。</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受理申请。镇（街道）受理申请，核对农机补贴对象条件及时将购机者基本情况、机具信息、购机发票等资料录入农机购置补贴申请办理服务系统，在发票原件上注明“已受理”，将身份证明原件和发票原件退还购机者。</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（五）机具核验。镇（街道）农业农村局核实补贴机具，“见人、见机、见票、见机具永久铭牌、见喷印监督标识”，完成人机合影并录入系统，并出具初审意见。</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（六）上报初审意见。镇（街道）农业农村局将补贴资金结算意见（含补贴资金结算汇总表、购机者清册等资料）报区农业农村局。</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审核结算材料。区农业农村局对镇（街道）上报的申请结算材料进行合规性审核。将镇（街道）报送的购机者清册与管理信息系统数据核对，确保系统数据与结算数据一致。补贴机具经公示无异议后，出具结算审核意见报区财政局。</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（八）复核结算材料。区财政局复核区农业农村局提交的申请结算材料，没有投诉反映、内容准确无误和程序合规的，进入资金兑付环节。</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（九）结算兑付资金。区财政局通过购机者账号向购机者拨付农机补贴资金，及时反馈补贴资金兑付情况。</w:t>
      </w:r>
    </w:p>
    <w:p>
      <w:pPr>
        <w:adjustRightInd w:val="0"/>
        <w:snapToGrid w:val="0"/>
        <w:spacing w:line="540" w:lineRule="exact"/>
        <w:ind w:firstLine="640"/>
        <w:rPr>
          <w:rFonts w:ascii="宋体" w:cs="宋体"/>
          <w:sz w:val="32"/>
          <w:szCs w:val="32"/>
        </w:rPr>
      </w:pPr>
      <w:r>
        <w:rPr>
          <w:rFonts w:hint="eastAsia" w:ascii="方正黑体_GBK" w:hAnsi="方正黑体_GBK" w:eastAsia="方正黑体_GBK" w:cs="方正黑体_GBK"/>
          <w:sz w:val="32"/>
          <w:szCs w:val="32"/>
        </w:rPr>
        <w:t>四、风险点及防控应对策略（风险等级：重大）</w:t>
      </w:r>
    </w:p>
    <w:tbl>
      <w:tblPr>
        <w:tblStyle w:val="6"/>
        <w:tblW w:w="9585" w:type="dxa"/>
        <w:tblInd w:w="-46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4335"/>
        <w:gridCol w:w="525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335" w:type="dxa"/>
            <w:vAlign w:val="center"/>
          </w:tcPr>
          <w:p>
            <w:pPr>
              <w:jc w:val="cente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风险点</w:t>
            </w:r>
          </w:p>
        </w:tc>
        <w:tc>
          <w:tcPr>
            <w:tcW w:w="5250" w:type="dxa"/>
            <w:vAlign w:val="center"/>
          </w:tcPr>
          <w:p>
            <w:pPr>
              <w:pStyle w:val="19"/>
              <w:spacing w:before="92"/>
              <w:ind w:left="1795" w:right="1756"/>
              <w:jc w:val="cente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防控应对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25" w:hRule="atLeast"/>
        </w:trPr>
        <w:tc>
          <w:tcPr>
            <w:tcW w:w="4335" w:type="dxa"/>
            <w:vAlign w:val="center"/>
          </w:tcPr>
          <w:p>
            <w:pPr>
              <w:rPr>
                <w:rFonts w:ascii="仿宋_GB2312" w:hAnsi="仿宋_GB2312" w:eastAsia="仿宋_GB2312" w:cs="仿宋_GB2312"/>
                <w:sz w:val="32"/>
                <w:szCs w:val="32"/>
              </w:rPr>
            </w:pPr>
            <w:r>
              <w:rPr>
                <w:rFonts w:hint="eastAsia" w:ascii="仿宋_GB2312" w:hAnsi="仿宋_GB2312" w:eastAsia="仿宋_GB2312" w:cs="仿宋_GB2312"/>
                <w:sz w:val="32"/>
                <w:szCs w:val="32"/>
              </w:rPr>
              <w:t>补贴对象是否符合资格条件</w:t>
            </w:r>
          </w:p>
        </w:tc>
        <w:tc>
          <w:tcPr>
            <w:tcW w:w="5250" w:type="dxa"/>
            <w:vAlign w:val="center"/>
          </w:tcPr>
          <w:p>
            <w:pPr>
              <w:pStyle w:val="19"/>
              <w:spacing w:line="560" w:lineRule="exact"/>
              <w:ind w:left="117"/>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个人提供涉农补贴卡，农业生产经营组织提供开户许可证和申请补助对象同名的银行账号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7" w:hRule="atLeast"/>
        </w:trPr>
        <w:tc>
          <w:tcPr>
            <w:tcW w:w="4335" w:type="dxa"/>
            <w:vAlign w:val="center"/>
          </w:tcPr>
          <w:p>
            <w:pPr>
              <w:rPr>
                <w:rFonts w:ascii="仿宋_GB2312" w:hAnsi="仿宋_GB2312" w:eastAsia="仿宋_GB2312" w:cs="仿宋_GB2312"/>
                <w:sz w:val="32"/>
                <w:szCs w:val="32"/>
              </w:rPr>
            </w:pPr>
            <w:r>
              <w:rPr>
                <w:rFonts w:hint="eastAsia" w:ascii="仿宋_GB2312" w:hAnsi="仿宋_GB2312" w:eastAsia="仿宋_GB2312" w:cs="仿宋_GB2312"/>
                <w:sz w:val="32"/>
                <w:szCs w:val="32"/>
              </w:rPr>
              <w:t>补贴申请资料是否合规</w:t>
            </w:r>
          </w:p>
        </w:tc>
        <w:tc>
          <w:tcPr>
            <w:tcW w:w="5250" w:type="dxa"/>
            <w:vAlign w:val="center"/>
          </w:tcPr>
          <w:p>
            <w:pPr>
              <w:pStyle w:val="19"/>
              <w:spacing w:before="92" w:line="560" w:lineRule="exact"/>
              <w:ind w:left="117"/>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纸质资料和机具信息分别审核确认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60" w:hRule="atLeast"/>
        </w:trPr>
        <w:tc>
          <w:tcPr>
            <w:tcW w:w="4335" w:type="dxa"/>
            <w:vAlign w:val="center"/>
          </w:tcPr>
          <w:p>
            <w:pPr>
              <w:rPr>
                <w:rFonts w:ascii="仿宋_GB2312" w:hAnsi="仿宋_GB2312" w:eastAsia="仿宋_GB2312" w:cs="仿宋_GB2312"/>
                <w:sz w:val="32"/>
                <w:szCs w:val="32"/>
              </w:rPr>
            </w:pPr>
            <w:r>
              <w:rPr>
                <w:rFonts w:hint="eastAsia" w:ascii="仿宋_GB2312" w:hAnsi="仿宋_GB2312" w:eastAsia="仿宋_GB2312" w:cs="仿宋_GB2312"/>
                <w:sz w:val="32"/>
                <w:szCs w:val="32"/>
              </w:rPr>
              <w:t>未按要求审核补贴申请资料、录入购机补贴信息</w:t>
            </w:r>
          </w:p>
        </w:tc>
        <w:tc>
          <w:tcPr>
            <w:tcW w:w="5250" w:type="dxa"/>
            <w:vAlign w:val="center"/>
          </w:tcPr>
          <w:p>
            <w:pPr>
              <w:pStyle w:val="19"/>
              <w:spacing w:line="560" w:lineRule="exact"/>
              <w:ind w:left="117"/>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补贴申请资料确认完整后，才能录入购机信息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65" w:hRule="atLeast"/>
        </w:trPr>
        <w:tc>
          <w:tcPr>
            <w:tcW w:w="4335" w:type="dxa"/>
            <w:tcBorders>
              <w:bottom w:val="single" w:color="auto" w:sz="4" w:space="0"/>
            </w:tcBorders>
            <w:vAlign w:val="center"/>
          </w:tcPr>
          <w:p>
            <w:pPr>
              <w:rPr>
                <w:rFonts w:ascii="仿宋_GB2312" w:hAnsi="仿宋_GB2312" w:eastAsia="仿宋_GB2312" w:cs="仿宋_GB2312"/>
                <w:sz w:val="32"/>
                <w:szCs w:val="32"/>
              </w:rPr>
            </w:pPr>
            <w:r>
              <w:rPr>
                <w:rFonts w:hint="eastAsia" w:ascii="仿宋_GB2312" w:hAnsi="仿宋_GB2312" w:eastAsia="仿宋_GB2312" w:cs="仿宋_GB2312"/>
                <w:sz w:val="32"/>
                <w:szCs w:val="32"/>
              </w:rPr>
              <w:t>补贴机具未现场核实即审核购机信息</w:t>
            </w:r>
          </w:p>
        </w:tc>
        <w:tc>
          <w:tcPr>
            <w:tcW w:w="5250" w:type="dxa"/>
            <w:tcBorders>
              <w:bottom w:val="single" w:color="auto" w:sz="4" w:space="0"/>
            </w:tcBorders>
            <w:vAlign w:val="center"/>
          </w:tcPr>
          <w:p>
            <w:pPr>
              <w:pStyle w:val="19"/>
              <w:spacing w:line="560" w:lineRule="exact"/>
              <w:ind w:left="117"/>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镇（街道）现场核对机具信息无误后才能</w:t>
            </w:r>
            <w:r>
              <w:rPr>
                <w:rFonts w:hint="eastAsia" w:ascii="仿宋_GB2312" w:hAnsi="仿宋_GB2312" w:eastAsia="仿宋_GB2312" w:cs="仿宋_GB2312"/>
                <w:sz w:val="32"/>
                <w:szCs w:val="32"/>
                <w:lang w:val="en-US"/>
              </w:rPr>
              <w:t>审核</w:t>
            </w:r>
            <w:r>
              <w:rPr>
                <w:rFonts w:hint="eastAsia" w:ascii="仿宋_GB2312" w:hAnsi="仿宋_GB2312" w:eastAsia="仿宋_GB2312" w:cs="仿宋_GB2312"/>
                <w:sz w:val="32"/>
                <w:szCs w:val="32"/>
              </w:rPr>
              <w:t>购机信息，做好人机合影等受理工作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60" w:hRule="atLeast"/>
        </w:trPr>
        <w:tc>
          <w:tcPr>
            <w:tcW w:w="4335" w:type="dxa"/>
            <w:tcBorders>
              <w:top w:val="single" w:color="auto" w:sz="4" w:space="0"/>
              <w:bottom w:val="single" w:color="auto" w:sz="4" w:space="0"/>
            </w:tcBorders>
            <w:vAlign w:val="center"/>
          </w:tcPr>
          <w:p>
            <w:pPr>
              <w:rPr>
                <w:rFonts w:ascii="仿宋_GB2312" w:hAnsi="仿宋_GB2312" w:eastAsia="仿宋_GB2312" w:cs="仿宋_GB2312"/>
                <w:sz w:val="32"/>
                <w:szCs w:val="32"/>
              </w:rPr>
            </w:pPr>
            <w:r>
              <w:rPr>
                <w:rFonts w:hint="eastAsia" w:ascii="仿宋_GB2312" w:hAnsi="仿宋_GB2312" w:eastAsia="仿宋_GB2312" w:cs="仿宋_GB2312"/>
                <w:sz w:val="32"/>
                <w:szCs w:val="32"/>
              </w:rPr>
              <w:t>已录入购机信息不完整</w:t>
            </w:r>
          </w:p>
        </w:tc>
        <w:tc>
          <w:tcPr>
            <w:tcW w:w="5250" w:type="dxa"/>
            <w:tcBorders>
              <w:top w:val="single" w:color="auto" w:sz="4" w:space="0"/>
              <w:bottom w:val="single" w:color="auto" w:sz="4" w:space="0"/>
            </w:tcBorders>
            <w:vAlign w:val="center"/>
          </w:tcPr>
          <w:p>
            <w:pPr>
              <w:pStyle w:val="19"/>
              <w:spacing w:line="560" w:lineRule="exact"/>
              <w:ind w:left="117" w:right="69"/>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区农业农村局通知镇（街道）进行修改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80" w:hRule="atLeast"/>
        </w:trPr>
        <w:tc>
          <w:tcPr>
            <w:tcW w:w="4335" w:type="dxa"/>
            <w:tcBorders>
              <w:top w:val="single" w:color="auto" w:sz="4" w:space="0"/>
              <w:bottom w:val="single" w:color="auto" w:sz="4" w:space="0"/>
            </w:tcBorders>
            <w:vAlign w:val="center"/>
          </w:tcPr>
          <w:p>
            <w:pPr>
              <w:rPr>
                <w:rFonts w:ascii="仿宋_GB2312" w:hAnsi="仿宋_GB2312" w:eastAsia="仿宋_GB2312" w:cs="仿宋_GB2312"/>
                <w:sz w:val="32"/>
                <w:szCs w:val="32"/>
              </w:rPr>
            </w:pPr>
            <w:r>
              <w:rPr>
                <w:rFonts w:hint="eastAsia" w:ascii="仿宋_GB2312" w:hAnsi="仿宋_GB2312" w:eastAsia="仿宋_GB2312" w:cs="仿宋_GB2312"/>
                <w:sz w:val="32"/>
                <w:szCs w:val="32"/>
              </w:rPr>
              <w:t>牌证管理信息是否合规</w:t>
            </w:r>
          </w:p>
        </w:tc>
        <w:tc>
          <w:tcPr>
            <w:tcW w:w="5250" w:type="dxa"/>
            <w:tcBorders>
              <w:top w:val="single" w:color="auto" w:sz="4" w:space="0"/>
              <w:bottom w:val="single" w:color="auto" w:sz="4" w:space="0"/>
            </w:tcBorders>
            <w:vAlign w:val="center"/>
          </w:tcPr>
          <w:p>
            <w:pPr>
              <w:pStyle w:val="19"/>
              <w:spacing w:line="560" w:lineRule="exact"/>
              <w:ind w:left="117"/>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区农机</w:t>
            </w:r>
            <w:r>
              <w:rPr>
                <w:rFonts w:hint="eastAsia" w:ascii="仿宋_GB2312" w:hAnsi="仿宋_GB2312" w:eastAsia="仿宋_GB2312" w:cs="仿宋_GB2312"/>
                <w:sz w:val="32"/>
                <w:szCs w:val="32"/>
                <w:lang w:val="en-US"/>
              </w:rPr>
              <w:t>执法中队</w:t>
            </w:r>
            <w:r>
              <w:rPr>
                <w:rFonts w:hint="eastAsia" w:ascii="仿宋_GB2312" w:hAnsi="仿宋_GB2312" w:eastAsia="仿宋_GB2312" w:cs="仿宋_GB2312"/>
                <w:sz w:val="32"/>
                <w:szCs w:val="32"/>
              </w:rPr>
              <w:t>及时提供牌证信息（含报废更新相关情况）</w:t>
            </w:r>
          </w:p>
        </w:tc>
      </w:tr>
    </w:tbl>
    <w:p>
      <w:pPr>
        <w:adjustRightInd w:val="0"/>
        <w:snapToGrid w:val="0"/>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附件</w:t>
      </w:r>
      <w:r>
        <w:rPr>
          <w:rFonts w:ascii="仿宋_GB2312" w:hAnsi="仿宋_GB2312" w:eastAsia="仿宋_GB2312" w:cs="仿宋_GB2312"/>
          <w:sz w:val="32"/>
          <w:szCs w:val="32"/>
        </w:rPr>
        <w:t>3</w:t>
      </w:r>
    </w:p>
    <w:p>
      <w:pPr>
        <w:adjustRightInd w:val="0"/>
        <w:snapToGrid w:val="0"/>
        <w:rPr>
          <w:rFonts w:ascii="黑体" w:hAnsi="黑体" w:eastAsia="黑体"/>
          <w:sz w:val="32"/>
          <w:szCs w:val="32"/>
        </w:rPr>
      </w:pPr>
    </w:p>
    <w:p>
      <w:pPr>
        <w:adjustRightInd w:val="0"/>
        <w:snapToGrid w:val="0"/>
        <w:spacing w:line="680" w:lineRule="exact"/>
        <w:jc w:val="center"/>
        <w:rPr>
          <w:rFonts w:ascii="方正小标宋_GBK" w:hAnsi="方正小标宋_GBK" w:eastAsia="方正小标宋_GBK" w:cs="方正小标宋_GBK"/>
          <w:sz w:val="40"/>
          <w:szCs w:val="40"/>
        </w:rPr>
      </w:pPr>
      <w:r>
        <w:rPr>
          <w:rFonts w:hint="eastAsia" w:ascii="方正小标宋_GBK" w:hAnsi="方正小标宋_GBK" w:eastAsia="方正小标宋_GBK" w:cs="方正小标宋_GBK"/>
          <w:sz w:val="40"/>
          <w:szCs w:val="40"/>
        </w:rPr>
        <w:t>海陵区农机购置补贴监管与违规投诉处理制度</w:t>
      </w:r>
    </w:p>
    <w:p>
      <w:pPr>
        <w:spacing w:line="400" w:lineRule="exact"/>
        <w:ind w:firstLine="160" w:firstLineChars="50"/>
        <w:jc w:val="left"/>
        <w:rPr>
          <w:rFonts w:ascii="仿宋_GB2312" w:hAnsi="仿宋" w:eastAsia="仿宋_GB2312"/>
          <w:bCs/>
          <w:color w:val="FF0000"/>
          <w:sz w:val="32"/>
          <w:szCs w:val="32"/>
        </w:rPr>
      </w:pP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加强对农机购置补贴机具的跟踪、监督、管理，确保国家强农惠农资金落到实处，规范农机购置补贴投诉和信访管理工作，提高全区农机购置补贴投诉和信访处理效率，维护农机购置补贴政策公开公平公正实施，特制定本办法。</w:t>
      </w:r>
    </w:p>
    <w:p>
      <w:pPr>
        <w:widowControl/>
        <w:shd w:val="clear" w:color="auto" w:fill="FFFFFF"/>
        <w:spacing w:line="560" w:lineRule="exact"/>
        <w:ind w:firstLine="600"/>
        <w:jc w:val="left"/>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一、补贴监管</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（一）成立核查小组</w:t>
      </w:r>
    </w:p>
    <w:p>
      <w:pPr>
        <w:widowControl/>
        <w:shd w:val="clear" w:color="auto" w:fill="FFFFFF"/>
        <w:spacing w:line="560" w:lineRule="exact"/>
        <w:ind w:firstLine="640" w:firstLineChars="200"/>
        <w:jc w:val="left"/>
        <w:rPr>
          <w:rFonts w:ascii="仿宋_GB2312" w:hAnsi="仿宋_GB2312" w:eastAsia="仿宋_GB2312" w:cs="仿宋_GB2312"/>
          <w:sz w:val="32"/>
          <w:szCs w:val="32"/>
        </w:rPr>
      </w:pPr>
      <w:r>
        <w:rPr>
          <w:rFonts w:ascii="仿宋_GB2312" w:hAnsi="仿宋_GB2312" w:eastAsia="仿宋_GB2312" w:cs="仿宋_GB2312"/>
          <w:sz w:val="32"/>
          <w:szCs w:val="32"/>
        </w:rPr>
        <w:t>1.</w:t>
      </w:r>
      <w:r>
        <w:rPr>
          <w:rFonts w:hint="eastAsia" w:ascii="仿宋_GB2312" w:hAnsi="仿宋_GB2312" w:eastAsia="仿宋_GB2312" w:cs="仿宋_GB2312"/>
          <w:sz w:val="32"/>
          <w:szCs w:val="32"/>
        </w:rPr>
        <w:t>成立区级督查组。区农业农村局、财政局相关负责同志及工作人员组成监督检查组。</w:t>
      </w:r>
    </w:p>
    <w:p>
      <w:pPr>
        <w:widowControl/>
        <w:shd w:val="clear" w:color="auto" w:fill="FFFFFF"/>
        <w:spacing w:line="560" w:lineRule="exact"/>
        <w:ind w:firstLine="640" w:firstLineChars="200"/>
        <w:jc w:val="left"/>
        <w:rPr>
          <w:rFonts w:ascii="仿宋_GB2312" w:hAnsi="仿宋_GB2312" w:eastAsia="仿宋_GB2312" w:cs="仿宋_GB2312"/>
          <w:sz w:val="32"/>
          <w:szCs w:val="32"/>
        </w:rPr>
      </w:pPr>
      <w:r>
        <w:rPr>
          <w:rFonts w:ascii="仿宋_GB2312" w:hAnsi="仿宋_GB2312" w:eastAsia="仿宋_GB2312" w:cs="仿宋_GB2312"/>
          <w:sz w:val="32"/>
          <w:szCs w:val="32"/>
        </w:rPr>
        <w:t>2.</w:t>
      </w:r>
      <w:r>
        <w:rPr>
          <w:rFonts w:hint="eastAsia" w:ascii="仿宋_GB2312" w:hAnsi="仿宋_GB2312" w:eastAsia="仿宋_GB2312" w:cs="仿宋_GB2312"/>
          <w:sz w:val="32"/>
          <w:szCs w:val="32"/>
        </w:rPr>
        <w:t>成立镇（街道）核实组。各镇（街道）农业农村局牵头负责对本区域农机购置补贴机具的核实。</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（二）核查范围和重点</w:t>
      </w:r>
    </w:p>
    <w:p>
      <w:pPr>
        <w:widowControl/>
        <w:shd w:val="clear" w:color="auto" w:fill="FFFFFF"/>
        <w:spacing w:line="560" w:lineRule="exact"/>
        <w:ind w:firstLine="64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核查范围：近年的农机购置补贴机具。重点核查当年办理的机具补贴：大中型拖拉机、联合收割机、乘坐式插秧机、高效植保机、农用挖掘机、烘干机等需要安装验收的机具。</w:t>
      </w:r>
    </w:p>
    <w:p>
      <w:pPr>
        <w:widowControl/>
        <w:shd w:val="clear" w:color="auto" w:fill="FFFFFF"/>
        <w:spacing w:line="560" w:lineRule="exact"/>
        <w:ind w:firstLine="64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核实组对重点机具（指大中型拖拉机、联合收割机、插秧机及需安装验收的机具）要逐台核实；区级督查组每年组织不少于两次的专项检查，确保按不低于购机数量</w:t>
      </w:r>
      <w:r>
        <w:rPr>
          <w:rFonts w:ascii="仿宋_GB2312" w:hAnsi="仿宋_GB2312" w:eastAsia="仿宋_GB2312" w:cs="仿宋_GB2312"/>
          <w:sz w:val="32"/>
          <w:szCs w:val="32"/>
        </w:rPr>
        <w:t>5%</w:t>
      </w:r>
      <w:r>
        <w:rPr>
          <w:rFonts w:hint="eastAsia" w:ascii="仿宋_GB2312" w:hAnsi="仿宋_GB2312" w:eastAsia="仿宋_GB2312" w:cs="仿宋_GB2312"/>
          <w:sz w:val="32"/>
          <w:szCs w:val="32"/>
        </w:rPr>
        <w:t>的比例，做好全区当年办理补贴机具的抽查核实工作。</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（三）核查内容和要求</w:t>
      </w:r>
      <w:r>
        <w:rPr>
          <w:rFonts w:ascii="仿宋_GB2312" w:hAnsi="仿宋_GB2312" w:eastAsia="仿宋_GB2312" w:cs="仿宋_GB2312"/>
          <w:sz w:val="32"/>
          <w:szCs w:val="32"/>
        </w:rPr>
        <w:tab/>
      </w:r>
    </w:p>
    <w:p>
      <w:pPr>
        <w:widowControl/>
        <w:shd w:val="clear" w:color="auto" w:fill="FFFFFF"/>
        <w:adjustRightInd w:val="0"/>
        <w:snapToGrid w:val="0"/>
        <w:spacing w:line="560" w:lineRule="exact"/>
        <w:ind w:firstLine="640" w:firstLineChars="200"/>
        <w:jc w:val="left"/>
        <w:rPr>
          <w:rFonts w:ascii="仿宋_GB2312" w:hAnsi="仿宋_GB2312" w:eastAsia="仿宋_GB2312" w:cs="仿宋_GB2312"/>
          <w:sz w:val="32"/>
          <w:szCs w:val="32"/>
        </w:rPr>
      </w:pPr>
      <w:r>
        <w:rPr>
          <w:rFonts w:ascii="仿宋_GB2312" w:hAnsi="仿宋_GB2312" w:eastAsia="仿宋_GB2312" w:cs="仿宋_GB2312"/>
          <w:sz w:val="32"/>
          <w:szCs w:val="32"/>
        </w:rPr>
        <w:t>1.</w:t>
      </w:r>
      <w:r>
        <w:rPr>
          <w:rFonts w:hint="eastAsia" w:ascii="仿宋_GB2312" w:hAnsi="仿宋_GB2312" w:eastAsia="仿宋_GB2312" w:cs="仿宋_GB2312"/>
          <w:sz w:val="32"/>
          <w:szCs w:val="32"/>
        </w:rPr>
        <w:t>核实组</w:t>
      </w:r>
    </w:p>
    <w:p>
      <w:pPr>
        <w:widowControl/>
        <w:shd w:val="clear" w:color="auto" w:fill="FFFFFF"/>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要深入到购机户家中或作业现场跟踪核实补贴机具，要见机见人见发票见铭牌见监督标识。认真对照合格证、身份证信息与申请登记的机具和购机户本人是否相符，补贴机具的明显位置是否固定有生产企业、产品名称和型号、出厂编号、生产日期、执行标准等信息的永久性铭牌，购置拖拉机、各类联合收割机、乘坐式插秧机、谷物烘干机、自走式喷杆喷雾机、农用挖掘机这六类机具重点机具在醒目位置是否用油漆喷印“</w:t>
      </w:r>
      <w:r>
        <w:rPr>
          <w:rFonts w:ascii="仿宋_GB2312" w:hAnsi="仿宋_GB2312" w:eastAsia="仿宋_GB2312" w:cs="仿宋_GB2312"/>
          <w:sz w:val="32"/>
          <w:szCs w:val="32"/>
        </w:rPr>
        <w:t>20XX</w:t>
      </w:r>
      <w:r>
        <w:rPr>
          <w:rFonts w:hint="eastAsia" w:ascii="仿宋_GB2312" w:hAnsi="仿宋_GB2312" w:eastAsia="仿宋_GB2312" w:cs="仿宋_GB2312"/>
          <w:sz w:val="32"/>
          <w:szCs w:val="32"/>
        </w:rPr>
        <w:t>年江苏补贴农机具，泰州市监督电话：</w:t>
      </w:r>
      <w:r>
        <w:rPr>
          <w:rFonts w:ascii="仿宋_GB2312" w:hAnsi="仿宋_GB2312" w:eastAsia="仿宋_GB2312" w:cs="仿宋_GB2312"/>
          <w:sz w:val="32"/>
          <w:szCs w:val="32"/>
        </w:rPr>
        <w:t>0523-85893964</w:t>
      </w:r>
      <w:r>
        <w:rPr>
          <w:rFonts w:hint="eastAsia" w:ascii="仿宋_GB2312" w:hAnsi="仿宋_GB2312" w:eastAsia="仿宋_GB2312" w:cs="仿宋_GB2312"/>
          <w:sz w:val="32"/>
          <w:szCs w:val="32"/>
        </w:rPr>
        <w:t>”字样，同时要核对购机发票和机具编号</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核对一致后，填写《农机购置补贴机具核查表》，由购机本人签字确认，核实组成员签字。核实实行“谁核实、谁负责、谁签字、谁负责”的责任追究制，防止责任缺失、工作疏忽大意，核实人员要做到逐户逐机到位，不留死角。</w:t>
      </w:r>
    </w:p>
    <w:p>
      <w:pPr>
        <w:widowControl/>
        <w:shd w:val="clear" w:color="auto" w:fill="FFFFFF"/>
        <w:spacing w:line="560" w:lineRule="exact"/>
        <w:ind w:firstLine="640" w:firstLineChars="200"/>
        <w:jc w:val="left"/>
        <w:rPr>
          <w:rFonts w:ascii="仿宋_GB2312" w:hAnsi="仿宋_GB2312" w:eastAsia="仿宋_GB2312" w:cs="仿宋_GB2312"/>
          <w:sz w:val="32"/>
          <w:szCs w:val="32"/>
        </w:rPr>
      </w:pPr>
      <w:r>
        <w:rPr>
          <w:rFonts w:ascii="仿宋_GB2312" w:hAnsi="仿宋_GB2312" w:eastAsia="仿宋_GB2312" w:cs="仿宋_GB2312"/>
          <w:sz w:val="32"/>
          <w:szCs w:val="32"/>
        </w:rPr>
        <w:t>2.</w:t>
      </w:r>
      <w:r>
        <w:rPr>
          <w:rFonts w:hint="eastAsia" w:ascii="仿宋_GB2312" w:hAnsi="仿宋_GB2312" w:eastAsia="仿宋_GB2312" w:cs="仿宋_GB2312"/>
          <w:sz w:val="32"/>
          <w:szCs w:val="32"/>
        </w:rPr>
        <w:t>督查组</w:t>
      </w:r>
    </w:p>
    <w:p>
      <w:pPr>
        <w:widowControl/>
        <w:shd w:val="clear" w:color="auto" w:fill="FFFFFF"/>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督查组每年至少开展两次专项检查，对全区农机购置补贴机具的真实性进行核实督查。</w:t>
      </w:r>
    </w:p>
    <w:p>
      <w:pPr>
        <w:widowControl/>
        <w:shd w:val="clear" w:color="auto" w:fill="FFFFFF"/>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对各镇（街道）核查组上报材料进行汇总，并采取电话抽查、现场核查、明查暗访的方式对补贴实施、核实的过程和效果进行监督检查，及时妥善处理督查中发现的问题。</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（四）责任追究</w:t>
      </w:r>
    </w:p>
    <w:p>
      <w:pPr>
        <w:spacing w:line="560" w:lineRule="exact"/>
        <w:ind w:firstLine="640" w:firstLineChars="200"/>
        <w:rPr>
          <w:rFonts w:ascii="仿宋_GB2312" w:hAnsi="仿宋_GB2312" w:eastAsia="仿宋_GB2312" w:cs="仿宋_GB2312"/>
          <w:color w:val="000000"/>
          <w:sz w:val="32"/>
          <w:szCs w:val="32"/>
        </w:rPr>
      </w:pPr>
      <w:r>
        <w:rPr>
          <w:rFonts w:ascii="仿宋_GB2312" w:hAnsi="仿宋_GB2312" w:eastAsia="仿宋_GB2312" w:cs="仿宋_GB2312"/>
          <w:color w:val="000000"/>
          <w:sz w:val="32"/>
          <w:szCs w:val="32"/>
        </w:rPr>
        <w:t>1.</w:t>
      </w:r>
      <w:r>
        <w:rPr>
          <w:rFonts w:hint="eastAsia" w:ascii="仿宋_GB2312" w:hAnsi="仿宋_GB2312" w:eastAsia="仿宋_GB2312" w:cs="仿宋_GB2312"/>
          <w:color w:val="000000"/>
          <w:sz w:val="32"/>
          <w:szCs w:val="32"/>
        </w:rPr>
        <w:t>各级农业农村局及人员</w:t>
      </w:r>
    </w:p>
    <w:p>
      <w:pPr>
        <w:spacing w:line="56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各级农业农村局工作人员在购机补贴政策实施中出现违规违纪行为，在全区范围内对相关责任人进行通报，并将情况通报纪检监察部门。同时，建议将有关责任人调离原岗位，按规定给予党纪政纪处分；情节严重构成犯罪的，建议司法部门给予相应处理。</w:t>
      </w:r>
    </w:p>
    <w:p>
      <w:pPr>
        <w:spacing w:line="560" w:lineRule="exact"/>
        <w:ind w:firstLine="640" w:firstLineChars="200"/>
        <w:rPr>
          <w:rFonts w:ascii="仿宋_GB2312" w:hAnsi="仿宋_GB2312" w:eastAsia="仿宋_GB2312" w:cs="仿宋_GB2312"/>
          <w:color w:val="000000"/>
          <w:sz w:val="32"/>
          <w:szCs w:val="32"/>
        </w:rPr>
      </w:pPr>
      <w:r>
        <w:rPr>
          <w:rFonts w:ascii="仿宋_GB2312" w:hAnsi="仿宋_GB2312" w:eastAsia="仿宋_GB2312" w:cs="仿宋_GB2312"/>
          <w:color w:val="000000"/>
          <w:sz w:val="32"/>
          <w:szCs w:val="32"/>
        </w:rPr>
        <w:t>2.</w:t>
      </w:r>
      <w:r>
        <w:rPr>
          <w:rFonts w:hint="eastAsia" w:ascii="仿宋_GB2312" w:hAnsi="仿宋_GB2312" w:eastAsia="仿宋_GB2312" w:cs="仿宋_GB2312"/>
          <w:color w:val="000000"/>
          <w:sz w:val="32"/>
          <w:szCs w:val="32"/>
        </w:rPr>
        <w:t>农机产销企业</w:t>
      </w:r>
    </w:p>
    <w:p>
      <w:pPr>
        <w:adjustRightInd w:val="0"/>
        <w:snapToGrid w:val="0"/>
        <w:spacing w:line="560" w:lineRule="exact"/>
        <w:ind w:firstLine="640" w:firstLineChars="200"/>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sz w:val="32"/>
          <w:szCs w:val="32"/>
        </w:rPr>
        <w:t>对投诉集中、“三包”服务不到位、存在不正当竞争、出厂编号及铭牌不规范、虚假宣传、降低配置、以次充好、价格虚高、申购集中且异常、骗补套补等情况进行重点调查核实。对于违反农机购置补贴政策相关规定的农机产销企业，区农业农村局视调查情况对违规企业采取约谈告诫、限期整改等措施，并将有关情况和进一步处理建议报省农业农村厅进行处理。省农业农村厅将对违规企业采取暂停或取消补贴资格的处理。农机企业产品补贴资格或经销补贴产品的资格被暂停、取消，所引起的纠纷和经济损失由违规农机企业自行承担。</w:t>
      </w:r>
    </w:p>
    <w:p>
      <w:pPr>
        <w:spacing w:line="560" w:lineRule="exact"/>
        <w:ind w:firstLine="640" w:firstLineChars="200"/>
        <w:rPr>
          <w:rFonts w:ascii="仿宋_GB2312" w:hAnsi="仿宋_GB2312" w:eastAsia="仿宋_GB2312" w:cs="仿宋_GB2312"/>
          <w:color w:val="000000"/>
          <w:sz w:val="32"/>
          <w:szCs w:val="32"/>
        </w:rPr>
      </w:pPr>
      <w:r>
        <w:rPr>
          <w:rFonts w:ascii="仿宋_GB2312" w:hAnsi="仿宋_GB2312" w:eastAsia="仿宋_GB2312" w:cs="仿宋_GB2312"/>
          <w:color w:val="000000"/>
          <w:sz w:val="32"/>
          <w:szCs w:val="32"/>
        </w:rPr>
        <w:t>3.</w:t>
      </w:r>
      <w:r>
        <w:rPr>
          <w:rFonts w:hint="eastAsia" w:ascii="仿宋_GB2312" w:hAnsi="仿宋_GB2312" w:eastAsia="仿宋_GB2312" w:cs="仿宋_GB2312"/>
          <w:color w:val="000000"/>
          <w:sz w:val="32"/>
          <w:szCs w:val="32"/>
        </w:rPr>
        <w:t>购机农户</w:t>
      </w:r>
      <w:r>
        <w:rPr>
          <w:rFonts w:ascii="仿宋_GB2312" w:hAnsi="仿宋_GB2312" w:eastAsia="仿宋_GB2312" w:cs="仿宋_GB2312"/>
          <w:color w:val="000000"/>
          <w:sz w:val="32"/>
          <w:szCs w:val="32"/>
        </w:rPr>
        <w:t xml:space="preserve"> </w:t>
      </w:r>
    </w:p>
    <w:p>
      <w:pPr>
        <w:spacing w:line="56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购机农户倒卖补贴机具从中获利或以虚假补贴资料骗取补贴资金的，追回其补贴机具或补贴资金，且</w:t>
      </w:r>
      <w:r>
        <w:rPr>
          <w:rFonts w:ascii="仿宋_GB2312" w:hAnsi="仿宋_GB2312" w:eastAsia="仿宋_GB2312" w:cs="仿宋_GB2312"/>
          <w:color w:val="000000"/>
          <w:sz w:val="32"/>
          <w:szCs w:val="32"/>
        </w:rPr>
        <w:t>5</w:t>
      </w:r>
      <w:r>
        <w:rPr>
          <w:rFonts w:hint="eastAsia" w:ascii="仿宋_GB2312" w:hAnsi="仿宋_GB2312" w:eastAsia="仿宋_GB2312" w:cs="仿宋_GB2312"/>
          <w:color w:val="000000"/>
          <w:sz w:val="32"/>
          <w:szCs w:val="32"/>
        </w:rPr>
        <w:t>年内不得享受农机购置补贴。情节严重的，移送司法机关处理。</w:t>
      </w:r>
    </w:p>
    <w:p>
      <w:pPr>
        <w:widowControl/>
        <w:shd w:val="clear" w:color="auto" w:fill="FFFFFF"/>
        <w:spacing w:line="560" w:lineRule="exact"/>
        <w:ind w:firstLine="600"/>
        <w:jc w:val="left"/>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二、违规投诉处理</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（一）明确受理适用范围</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办法适用于在农机购置补贴政策实施中，依法对存在违反政策规定、违法行政、不当行政以及行政不作为等行为提出的投诉、信访和举报；涉及农机补贴产品质量投诉的，按国家《产品质量法》、《农业机械产品修理更换退货责任规定》等有关农机产品质量监督的法律、法规执行。</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（二）对外公布投诉方式</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区、镇</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街道</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农业农村局负责农机购置补贴投诉和信访管理工作。向社会公布投诉电话、通信地址、电子信箱等联系方式，为农机购置补贴投诉和信访人员提供便利，高度重视群众举报投诉受理查处工作。建立健全相关机制，通过电话、网络、信函等有效形式受理投诉。对实名投诉举报的问题和线索，要做到凡报必查。</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（三）妥善受理反映情况</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高度重视并热情耐心地做好投诉和信访人员的接待处理工作。设立投诉、信访和举报记录簿。受理信访、投诉、举报的工作人员必须做到热情接待来访人员，认真登记来信来访的诉求，倾听并分析所反映的问题，及时与其沟通情况；不得对投诉和信访人员置之不理，敷衍塞责，推诿拖延，将矛盾化解在萌芽状态，把问题解决在基层。</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（四）做好调查处理工作</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对不需要处理的一般问题，应耐心解释政策，做好来访人员的思想工作；对简单一般的信访投诉反映，应在</w:t>
      </w:r>
      <w:r>
        <w:rPr>
          <w:rFonts w:ascii="仿宋_GB2312" w:hAnsi="仿宋_GB2312" w:eastAsia="仿宋_GB2312" w:cs="仿宋_GB2312"/>
          <w:sz w:val="32"/>
          <w:szCs w:val="32"/>
        </w:rPr>
        <w:t>5</w:t>
      </w:r>
      <w:r>
        <w:rPr>
          <w:rFonts w:hint="eastAsia" w:ascii="仿宋_GB2312" w:hAnsi="仿宋_GB2312" w:eastAsia="仿宋_GB2312" w:cs="仿宋_GB2312"/>
          <w:sz w:val="32"/>
          <w:szCs w:val="32"/>
        </w:rPr>
        <w:t>个工作日内办结；对较复杂的投诉举报反映，要在</w:t>
      </w:r>
      <w:r>
        <w:rPr>
          <w:rFonts w:ascii="仿宋_GB2312" w:hAnsi="仿宋_GB2312" w:eastAsia="仿宋_GB2312" w:cs="仿宋_GB2312"/>
          <w:sz w:val="32"/>
          <w:szCs w:val="32"/>
        </w:rPr>
        <w:t>30</w:t>
      </w:r>
      <w:r>
        <w:rPr>
          <w:rFonts w:hint="eastAsia" w:ascii="仿宋_GB2312" w:hAnsi="仿宋_GB2312" w:eastAsia="仿宋_GB2312" w:cs="仿宋_GB2312"/>
          <w:sz w:val="32"/>
          <w:szCs w:val="32"/>
        </w:rPr>
        <w:t>个工作日内完成调查、处理、反馈等工作，如遇特殊情况需延长时间的，必须经相关领导批准，并记录说明情况。上级机关转来的信访投诉举报件，按上级机关指定的期限办结。</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在信访投诉举报查办过程中应坚持实事求是的原则，重调查、重证据，全面客观解决问题，注意工作方法。信访投诉举报件的调查了解，谈话核实，必须有两人以上共同办理，并制作笔录，由被谈话人在笔录材料上签字。</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（五）健全投诉来访档案</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做好对投诉和信访的回复和档案保存工作。整理、保存投诉和信访材料，并对投诉人的姓名、投诉具体事项、投诉对象和投诉人联系方式等基本情况进行登记和记录。在回复调查处理结果时，应当用语规范、方法恰当，可采取直接回复、约投诉人面谈回复等方式。</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（六）保护反映人员权益</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严格遵守保密规定，对信访投诉举报人的姓名、工作部门、家庭住址等有关情况及举报内容必须严格保密，因查处工作需要出具举报材料时，须经有关领导批准，并隐去可能暴露信访投诉举报人身份的内容。严禁将举报、揭发和控告的信件、材料转交或告诉被举报、揭发、控告的单位或个人。严禁对举报、揭发、控告人打击报复，对揭发、控告人进行打击报复的要严肃追究责任。</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（七）依法依规处理问题</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定期梳理投诉和信访材料，对投诉较多的热点、难点问题，应及时研究改进措施和方法，着力解决问题，切实维护群众利益；对群众因不了解政策，造成多次反复投诉的事项，应主动通过电视、广播、网络、报刊等媒体向社会公告，防止群众误解。</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对查处的一般性问题，应有整改措施并限期整改。如属个人问题，应约谈本人，予以告诫。对查处的违纪违规问题应按有关规定严肃处理；对构成犯罪的，移交司法机关依法处理。查处结果应及时报送上级农业农村局。</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对因推诿塞责、简单粗暴、疏于监督落实，或因对上级机关批转督办的投诉信访不按时限要求核实上报，致使问题久拖不决、引发重复投诉和信访及群体性事件等严重后果的，区农业农村局将视情节予以通报，并建议有关部门对相关责任人按规定给予党纪政纪处分；情况严重构成犯罪的，将移送司法机关处理。</w:t>
      </w:r>
    </w:p>
    <w:p>
      <w:pPr>
        <w:widowControl/>
        <w:shd w:val="clear" w:color="auto" w:fill="FFFFFF"/>
        <w:spacing w:line="560" w:lineRule="exact"/>
        <w:ind w:firstLine="600"/>
        <w:jc w:val="left"/>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三、风险点及防控应对策略（风险等级：重大）</w:t>
      </w:r>
    </w:p>
    <w:tbl>
      <w:tblPr>
        <w:tblStyle w:val="6"/>
        <w:tblW w:w="944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3510"/>
        <w:gridCol w:w="593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5" w:hRule="atLeast"/>
        </w:trPr>
        <w:tc>
          <w:tcPr>
            <w:tcW w:w="3510" w:type="dxa"/>
            <w:vAlign w:val="center"/>
          </w:tcPr>
          <w:p>
            <w:pPr>
              <w:spacing w:line="520" w:lineRule="exact"/>
              <w:jc w:val="cente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风险点</w:t>
            </w:r>
          </w:p>
        </w:tc>
        <w:tc>
          <w:tcPr>
            <w:tcW w:w="5936" w:type="dxa"/>
          </w:tcPr>
          <w:p>
            <w:pPr>
              <w:pStyle w:val="19"/>
              <w:spacing w:line="520" w:lineRule="exact"/>
              <w:ind w:left="2176" w:right="2133"/>
              <w:jc w:val="cente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防控应对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475" w:hRule="atLeast"/>
        </w:trPr>
        <w:tc>
          <w:tcPr>
            <w:tcW w:w="3510" w:type="dxa"/>
            <w:vAlign w:val="center"/>
          </w:tcPr>
          <w:p>
            <w:pPr>
              <w:spacing w:line="520" w:lineRule="exact"/>
              <w:rPr>
                <w:rFonts w:ascii="楷体" w:hAnsi="楷体" w:eastAsia="楷体" w:cs="楷体"/>
                <w:sz w:val="32"/>
                <w:szCs w:val="32"/>
              </w:rPr>
            </w:pPr>
            <w:r>
              <w:rPr>
                <w:rFonts w:hint="eastAsia" w:ascii="楷体" w:hAnsi="楷体" w:eastAsia="楷体" w:cs="楷体"/>
                <w:sz w:val="32"/>
                <w:szCs w:val="32"/>
              </w:rPr>
              <w:t>收受企业好处，对反映问题的举报投诉不组织调查，对已查实的违规问题不按规定处理</w:t>
            </w:r>
          </w:p>
        </w:tc>
        <w:tc>
          <w:tcPr>
            <w:tcW w:w="5936" w:type="dxa"/>
            <w:vAlign w:val="center"/>
          </w:tcPr>
          <w:p>
            <w:pPr>
              <w:pStyle w:val="19"/>
              <w:spacing w:line="520" w:lineRule="exact"/>
              <w:ind w:left="119" w:right="-15"/>
              <w:jc w:val="both"/>
              <w:rPr>
                <w:rFonts w:ascii="楷体" w:hAnsi="楷体" w:eastAsia="楷体" w:cs="楷体"/>
                <w:sz w:val="32"/>
                <w:szCs w:val="32"/>
              </w:rPr>
            </w:pPr>
            <w:r>
              <w:rPr>
                <w:rFonts w:hint="eastAsia" w:ascii="楷体" w:hAnsi="楷体" w:eastAsia="楷体" w:cs="楷体"/>
                <w:spacing w:val="-9"/>
                <w:sz w:val="32"/>
                <w:szCs w:val="32"/>
              </w:rPr>
              <w:t>研究制定农机购置补贴违规处理工作规定，明确受</w:t>
            </w:r>
            <w:r>
              <w:rPr>
                <w:rFonts w:hint="eastAsia" w:ascii="楷体" w:hAnsi="楷体" w:eastAsia="楷体" w:cs="楷体"/>
                <w:spacing w:val="-5"/>
                <w:sz w:val="32"/>
                <w:szCs w:val="32"/>
              </w:rPr>
              <w:t>理、转办、调查、处理、公布等程序和工作要求，</w:t>
            </w:r>
            <w:r>
              <w:rPr>
                <w:rFonts w:ascii="楷体" w:hAnsi="楷体" w:eastAsia="楷体" w:cs="楷体"/>
                <w:spacing w:val="-5"/>
                <w:sz w:val="32"/>
                <w:szCs w:val="32"/>
              </w:rPr>
              <w:t xml:space="preserve"> </w:t>
            </w:r>
            <w:r>
              <w:rPr>
                <w:rFonts w:hint="eastAsia" w:ascii="楷体" w:hAnsi="楷体" w:eastAsia="楷体" w:cs="楷体"/>
                <w:spacing w:val="-5"/>
                <w:sz w:val="32"/>
                <w:szCs w:val="32"/>
              </w:rPr>
              <w:t>公布补贴咨询投诉热线电话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0" w:hRule="atLeast"/>
        </w:trPr>
        <w:tc>
          <w:tcPr>
            <w:tcW w:w="3510" w:type="dxa"/>
            <w:vAlign w:val="center"/>
          </w:tcPr>
          <w:p>
            <w:pPr>
              <w:spacing w:line="520" w:lineRule="exact"/>
              <w:rPr>
                <w:rFonts w:ascii="楷体" w:hAnsi="楷体" w:eastAsia="楷体" w:cs="楷体"/>
                <w:sz w:val="32"/>
                <w:szCs w:val="32"/>
              </w:rPr>
            </w:pPr>
            <w:r>
              <w:rPr>
                <w:rFonts w:hint="eastAsia" w:ascii="楷体" w:hAnsi="楷体" w:eastAsia="楷体" w:cs="楷体"/>
                <w:sz w:val="32"/>
                <w:szCs w:val="32"/>
              </w:rPr>
              <w:t>部门及工作人员补贴实施中违纪行为</w:t>
            </w:r>
          </w:p>
        </w:tc>
        <w:tc>
          <w:tcPr>
            <w:tcW w:w="5936" w:type="dxa"/>
            <w:vAlign w:val="center"/>
          </w:tcPr>
          <w:p>
            <w:pPr>
              <w:pStyle w:val="19"/>
              <w:spacing w:line="520" w:lineRule="exact"/>
              <w:ind w:left="119"/>
              <w:jc w:val="both"/>
              <w:rPr>
                <w:rFonts w:ascii="楷体" w:hAnsi="楷体" w:eastAsia="楷体" w:cs="楷体"/>
                <w:sz w:val="32"/>
                <w:szCs w:val="32"/>
              </w:rPr>
            </w:pPr>
            <w:r>
              <w:rPr>
                <w:rFonts w:hint="eastAsia" w:ascii="楷体" w:hAnsi="楷体" w:eastAsia="楷体" w:cs="楷体"/>
                <w:spacing w:val="-10"/>
                <w:sz w:val="32"/>
                <w:szCs w:val="32"/>
              </w:rPr>
              <w:t>执行机关干部违规警示管理办法等，形成书面</w:t>
            </w:r>
            <w:r>
              <w:rPr>
                <w:rFonts w:hint="eastAsia" w:ascii="楷体" w:hAnsi="楷体" w:eastAsia="楷体" w:cs="楷体"/>
                <w:sz w:val="32"/>
                <w:szCs w:val="32"/>
              </w:rPr>
              <w:t>调查材料报送主管部门和所在单位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10" w:hRule="atLeast"/>
        </w:trPr>
        <w:tc>
          <w:tcPr>
            <w:tcW w:w="3510" w:type="dxa"/>
            <w:vAlign w:val="center"/>
          </w:tcPr>
          <w:p>
            <w:pPr>
              <w:spacing w:line="520" w:lineRule="exact"/>
              <w:rPr>
                <w:rFonts w:ascii="楷体" w:hAnsi="楷体" w:eastAsia="楷体" w:cs="楷体"/>
                <w:sz w:val="32"/>
                <w:szCs w:val="32"/>
              </w:rPr>
            </w:pPr>
            <w:r>
              <w:rPr>
                <w:rFonts w:hint="eastAsia" w:ascii="楷体" w:hAnsi="楷体" w:eastAsia="楷体" w:cs="楷体"/>
                <w:sz w:val="32"/>
                <w:szCs w:val="32"/>
              </w:rPr>
              <w:t>补贴农机产品质量调查</w:t>
            </w:r>
          </w:p>
        </w:tc>
        <w:tc>
          <w:tcPr>
            <w:tcW w:w="5936" w:type="dxa"/>
            <w:vAlign w:val="center"/>
          </w:tcPr>
          <w:p>
            <w:pPr>
              <w:pStyle w:val="19"/>
              <w:spacing w:line="520" w:lineRule="exact"/>
              <w:ind w:left="119"/>
              <w:jc w:val="both"/>
              <w:rPr>
                <w:rFonts w:ascii="楷体" w:hAnsi="楷体" w:eastAsia="楷体" w:cs="楷体"/>
                <w:sz w:val="32"/>
                <w:szCs w:val="32"/>
              </w:rPr>
            </w:pPr>
            <w:r>
              <w:rPr>
                <w:rFonts w:hint="eastAsia" w:ascii="楷体" w:hAnsi="楷体" w:eastAsia="楷体" w:cs="楷体"/>
                <w:sz w:val="32"/>
                <w:szCs w:val="32"/>
              </w:rPr>
              <w:t>区农业农村局全过程跟踪</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765" w:hRule="atLeast"/>
        </w:trPr>
        <w:tc>
          <w:tcPr>
            <w:tcW w:w="3510" w:type="dxa"/>
            <w:vAlign w:val="center"/>
          </w:tcPr>
          <w:p>
            <w:pPr>
              <w:spacing w:line="520" w:lineRule="exact"/>
              <w:rPr>
                <w:rFonts w:ascii="楷体" w:hAnsi="楷体" w:eastAsia="楷体" w:cs="楷体"/>
                <w:sz w:val="32"/>
                <w:szCs w:val="32"/>
              </w:rPr>
            </w:pPr>
            <w:r>
              <w:rPr>
                <w:rFonts w:hint="eastAsia" w:ascii="楷体" w:hAnsi="楷体" w:eastAsia="楷体" w:cs="楷体"/>
                <w:sz w:val="32"/>
                <w:szCs w:val="32"/>
              </w:rPr>
              <w:t>报废农机资格确认</w:t>
            </w:r>
          </w:p>
        </w:tc>
        <w:tc>
          <w:tcPr>
            <w:tcW w:w="5936" w:type="dxa"/>
            <w:vAlign w:val="center"/>
          </w:tcPr>
          <w:p>
            <w:pPr>
              <w:pStyle w:val="19"/>
              <w:spacing w:line="520" w:lineRule="exact"/>
              <w:ind w:left="119"/>
              <w:jc w:val="both"/>
              <w:rPr>
                <w:rFonts w:ascii="楷体" w:hAnsi="楷体" w:eastAsia="楷体" w:cs="楷体"/>
                <w:sz w:val="32"/>
                <w:szCs w:val="32"/>
              </w:rPr>
            </w:pPr>
            <w:r>
              <w:rPr>
                <w:rFonts w:hint="eastAsia" w:ascii="楷体" w:hAnsi="楷体" w:eastAsia="楷体" w:cs="楷体"/>
                <w:sz w:val="32"/>
                <w:szCs w:val="32"/>
              </w:rPr>
              <w:t>报废记录按期公开，做好网上信息的核对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40" w:hRule="atLeast"/>
        </w:trPr>
        <w:tc>
          <w:tcPr>
            <w:tcW w:w="3510" w:type="dxa"/>
            <w:tcBorders>
              <w:bottom w:val="single" w:color="auto" w:sz="4" w:space="0"/>
            </w:tcBorders>
            <w:vAlign w:val="center"/>
          </w:tcPr>
          <w:p>
            <w:pPr>
              <w:spacing w:line="520" w:lineRule="exact"/>
              <w:rPr>
                <w:rFonts w:ascii="楷体" w:hAnsi="楷体" w:eastAsia="楷体" w:cs="楷体"/>
                <w:sz w:val="32"/>
                <w:szCs w:val="32"/>
              </w:rPr>
            </w:pPr>
            <w:r>
              <w:rPr>
                <w:rFonts w:hint="eastAsia" w:ascii="楷体" w:hAnsi="楷体" w:eastAsia="楷体" w:cs="楷体"/>
                <w:sz w:val="32"/>
                <w:szCs w:val="32"/>
              </w:rPr>
              <w:t>经销商经营违规行为</w:t>
            </w:r>
          </w:p>
        </w:tc>
        <w:tc>
          <w:tcPr>
            <w:tcW w:w="5936" w:type="dxa"/>
            <w:tcBorders>
              <w:bottom w:val="single" w:color="auto" w:sz="4" w:space="0"/>
            </w:tcBorders>
            <w:vAlign w:val="center"/>
          </w:tcPr>
          <w:p>
            <w:pPr>
              <w:pStyle w:val="19"/>
              <w:spacing w:line="520" w:lineRule="exact"/>
              <w:ind w:left="119"/>
              <w:jc w:val="both"/>
              <w:rPr>
                <w:rFonts w:ascii="楷体" w:hAnsi="楷体" w:eastAsia="楷体" w:cs="楷体"/>
                <w:sz w:val="32"/>
                <w:szCs w:val="32"/>
              </w:rPr>
            </w:pPr>
            <w:r>
              <w:rPr>
                <w:rFonts w:hint="eastAsia" w:ascii="楷体" w:hAnsi="楷体" w:eastAsia="楷体" w:cs="楷体"/>
                <w:sz w:val="32"/>
                <w:szCs w:val="32"/>
              </w:rPr>
              <w:t>严格按江苏省农机购置补贴产品经营违规行为处理规定（试行）执行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25" w:hRule="atLeast"/>
        </w:trPr>
        <w:tc>
          <w:tcPr>
            <w:tcW w:w="3510" w:type="dxa"/>
            <w:tcBorders>
              <w:top w:val="single" w:color="auto" w:sz="4" w:space="0"/>
            </w:tcBorders>
            <w:vAlign w:val="center"/>
          </w:tcPr>
          <w:p>
            <w:pPr>
              <w:spacing w:line="520" w:lineRule="exact"/>
              <w:rPr>
                <w:rFonts w:ascii="楷体" w:hAnsi="楷体" w:eastAsia="楷体" w:cs="楷体"/>
                <w:sz w:val="32"/>
                <w:szCs w:val="32"/>
              </w:rPr>
            </w:pPr>
            <w:r>
              <w:rPr>
                <w:rFonts w:hint="eastAsia" w:ascii="楷体" w:hAnsi="楷体" w:eastAsia="楷体" w:cs="楷体"/>
                <w:sz w:val="32"/>
                <w:szCs w:val="32"/>
              </w:rPr>
              <w:t>补贴机具销售真实性</w:t>
            </w:r>
          </w:p>
        </w:tc>
        <w:tc>
          <w:tcPr>
            <w:tcW w:w="5936" w:type="dxa"/>
            <w:tcBorders>
              <w:top w:val="single" w:color="auto" w:sz="4" w:space="0"/>
            </w:tcBorders>
            <w:vAlign w:val="center"/>
          </w:tcPr>
          <w:p>
            <w:pPr>
              <w:pStyle w:val="19"/>
              <w:spacing w:line="520" w:lineRule="exact"/>
              <w:ind w:left="119"/>
              <w:jc w:val="both"/>
              <w:rPr>
                <w:rFonts w:ascii="楷体" w:hAnsi="楷体" w:eastAsia="楷体" w:cs="楷体"/>
                <w:sz w:val="32"/>
                <w:szCs w:val="32"/>
              </w:rPr>
            </w:pPr>
            <w:r>
              <w:rPr>
                <w:rFonts w:hint="eastAsia" w:ascii="楷体" w:hAnsi="楷体" w:eastAsia="楷体" w:cs="楷体"/>
                <w:sz w:val="32"/>
                <w:szCs w:val="32"/>
              </w:rPr>
              <w:t>每年组织</w:t>
            </w:r>
            <w:r>
              <w:rPr>
                <w:rFonts w:ascii="楷体" w:hAnsi="楷体" w:eastAsia="楷体" w:cs="楷体"/>
                <w:sz w:val="32"/>
                <w:szCs w:val="32"/>
              </w:rPr>
              <w:t xml:space="preserve"> 2 </w:t>
            </w:r>
            <w:r>
              <w:rPr>
                <w:rFonts w:hint="eastAsia" w:ascii="楷体" w:hAnsi="楷体" w:eastAsia="楷体" w:cs="楷体"/>
                <w:sz w:val="32"/>
                <w:szCs w:val="32"/>
              </w:rPr>
              <w:t>次重点机具实地检查，核机数量不少于规定要求</w:t>
            </w:r>
          </w:p>
        </w:tc>
      </w:tr>
    </w:tbl>
    <w:p>
      <w:pPr>
        <w:adjustRightInd w:val="0"/>
        <w:snapToGrid w:val="0"/>
        <w:spacing w:line="560" w:lineRule="exact"/>
        <w:rPr>
          <w:rFonts w:ascii="黑体" w:hAnsi="黑体" w:eastAsia="黑体"/>
          <w:sz w:val="32"/>
          <w:szCs w:val="32"/>
        </w:rPr>
      </w:pPr>
    </w:p>
    <w:p>
      <w:pPr>
        <w:adjustRightInd w:val="0"/>
        <w:snapToGrid w:val="0"/>
        <w:spacing w:line="560" w:lineRule="exact"/>
        <w:rPr>
          <w:rFonts w:ascii="黑体" w:hAnsi="黑体" w:eastAsia="黑体"/>
          <w:sz w:val="32"/>
          <w:szCs w:val="32"/>
        </w:rPr>
      </w:pPr>
    </w:p>
    <w:p>
      <w:pPr>
        <w:adjustRightInd w:val="0"/>
        <w:snapToGrid w:val="0"/>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附件</w:t>
      </w:r>
      <w:r>
        <w:rPr>
          <w:rFonts w:ascii="仿宋_GB2312" w:hAnsi="仿宋_GB2312" w:eastAsia="仿宋_GB2312" w:cs="仿宋_GB2312"/>
          <w:sz w:val="32"/>
          <w:szCs w:val="32"/>
        </w:rPr>
        <w:t>4</w:t>
      </w:r>
    </w:p>
    <w:p>
      <w:pPr>
        <w:adjustRightInd w:val="0"/>
        <w:snapToGrid w:val="0"/>
        <w:spacing w:line="680" w:lineRule="exac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海陵区农机购置补贴政策宣传</w:t>
      </w:r>
    </w:p>
    <w:p>
      <w:pPr>
        <w:adjustRightInd w:val="0"/>
        <w:snapToGrid w:val="0"/>
        <w:spacing w:line="680" w:lineRule="exac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与信息公开制度</w:t>
      </w:r>
    </w:p>
    <w:p>
      <w:pPr>
        <w:adjustRightInd w:val="0"/>
        <w:snapToGrid w:val="0"/>
        <w:spacing w:line="560" w:lineRule="exact"/>
        <w:jc w:val="center"/>
        <w:rPr>
          <w:rFonts w:ascii="宋体" w:cs="宋体"/>
          <w:b/>
          <w:bCs/>
          <w:sz w:val="44"/>
          <w:szCs w:val="44"/>
        </w:rPr>
      </w:pP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按照省农业农村厅《</w:t>
      </w:r>
      <w:r>
        <w:rPr>
          <w:rFonts w:ascii="仿宋_GB2312" w:hAnsi="仿宋_GB2312" w:eastAsia="仿宋_GB2312" w:cs="仿宋_GB2312"/>
          <w:sz w:val="32"/>
          <w:szCs w:val="32"/>
        </w:rPr>
        <w:t>2021-2023</w:t>
      </w:r>
      <w:r>
        <w:rPr>
          <w:rFonts w:hint="eastAsia" w:ascii="仿宋_GB2312" w:hAnsi="仿宋_GB2312" w:eastAsia="仿宋_GB2312" w:cs="仿宋_GB2312"/>
          <w:sz w:val="32"/>
          <w:szCs w:val="32"/>
        </w:rPr>
        <w:t>年江苏省农业机械购置补贴实施意见》（苏农机〔</w:t>
      </w: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13</w:t>
      </w:r>
      <w:r>
        <w:rPr>
          <w:rFonts w:hint="eastAsia" w:ascii="仿宋_GB2312" w:hAnsi="仿宋_GB2312" w:eastAsia="仿宋_GB2312" w:cs="仿宋_GB2312"/>
          <w:sz w:val="32"/>
          <w:szCs w:val="32"/>
        </w:rPr>
        <w:t>号）文件精神，现制定海陵区农机购置补贴政策宣传与信息公开制度。</w:t>
      </w:r>
    </w:p>
    <w:p>
      <w:pPr>
        <w:spacing w:line="560" w:lineRule="exact"/>
        <w:ind w:firstLine="640" w:firstLineChars="20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一、加强政策宣传，扩大社会公众知晓率</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农机购置补贴政策是一项重要的强农惠农政策，落实好这项政策，有利于调动农民购置和使用农业机械的积极性，提高农业机械化水平，增强农业综合生产能力；有利于促进农业稳定发展、农民持续增收，助力乡村振兴战略实施。区、镇（街道）两级农业农村局应多渠道、多种形式地宣传农机购置补贴政策，扩大政策的社会公众知晓率，充分发挥农机购置补贴的政策效益。</w:t>
      </w:r>
    </w:p>
    <w:p>
      <w:pPr>
        <w:spacing w:line="560" w:lineRule="exact"/>
        <w:ind w:firstLine="640" w:firstLineChars="20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二、信息公开内容</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（一）年度农机购置补贴实施方案：补贴资金安排原则、补贴范围和补贴机具、补贴标准和补贴对象、资金使用、补贴操作流程等；</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（二）补贴资金使用及实施过程中的实际执行进度和购机者姓名住址、农民实际购机数量、金额等信息档案；</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（三）区农业农村局农机购置补贴政策咨询电话、补贴工作受理电话、举报电话、补贴机具质量投诉电话、发布补贴政策的网址或在网上开通固定专栏的地址、电子信箱等；</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（四）其它有关规范性文件、制度和办法等。包括农机购置补贴工作人员行为准则、补贴工作纪律等。</w:t>
      </w:r>
    </w:p>
    <w:p>
      <w:pPr>
        <w:spacing w:line="560" w:lineRule="exact"/>
        <w:ind w:firstLine="640" w:firstLineChars="20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三、信息公开渠道</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充分发挥政府网站主渠道作用。为加强农机购置补贴网上信息公开专栏的建设和管理，全面推行农机购置补贴信息公开化，确保专栏内容及时、准确、完整、规范。已在网站设立农机购置补贴信息公开专栏，集中公开有关信息。积极主动把农机购置补贴政策实施情况列入政务公开和政务服务目录，将补贴政策内容和执行情况等信息在区政务平台的政府网站上公布，使全社会广泛知晓。</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不断丰富补贴政策信息公开形式。在重要的农时季节和农机购置补贴政策实施的关键时期，可采取召开新闻发布会、接受媒体访谈以及与当地有影响力的报刊合作等形式，充分发挥手机短信、广播电视等媒体传播速度快、受众范围广的优势，及时向社会公布农机购置补贴政策及有关信息。在农民群众缺乏上网条件的地区，把补贴受理工作流程及有关要求、补贴资金使用进度、补贴受益对象等信息，通过当地电视台、政务大厅电子信息屏、农村广播、镇（街道）公告栏、流动宣传车、宣传挂图等进行公开。</w:t>
      </w:r>
    </w:p>
    <w:p>
      <w:pPr>
        <w:spacing w:line="560" w:lineRule="exact"/>
        <w:ind w:firstLine="640" w:firstLineChars="20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四、信息公开时间要求</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应增强农机购置补贴政策信息公开工作的时效性，农机购置补贴文件原则上应在签发后</w:t>
      </w:r>
      <w:r>
        <w:rPr>
          <w:rFonts w:ascii="仿宋_GB2312" w:hAnsi="仿宋_GB2312" w:eastAsia="仿宋_GB2312" w:cs="仿宋_GB2312"/>
          <w:sz w:val="32"/>
          <w:szCs w:val="32"/>
        </w:rPr>
        <w:t>5</w:t>
      </w:r>
      <w:r>
        <w:rPr>
          <w:rFonts w:hint="eastAsia" w:ascii="仿宋_GB2312" w:hAnsi="仿宋_GB2312" w:eastAsia="仿宋_GB2312" w:cs="仿宋_GB2312"/>
          <w:sz w:val="32"/>
          <w:szCs w:val="32"/>
        </w:rPr>
        <w:t>个工作日内公开相关信息。按照年度农机购置补贴实施办法的规定，做好农机购置补贴工作进度、过程等信息的公开工作。每半个月公布本区补贴资金使用进度，补贴受益对象有关信息（包括补贴农户姓名、所在乡镇、补贴机具数量、具体型号及生产厂家、补贴额等）。年度补贴工作结束后，以公告形式公开本区补贴资金额度、农民实际购机数量、金额等情况，主动接受社会监督。</w:t>
      </w:r>
    </w:p>
    <w:p>
      <w:pPr>
        <w:spacing w:line="560" w:lineRule="exact"/>
        <w:ind w:firstLine="640" w:firstLineChars="20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五、组织领导</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（一）明确工作职责。区农业农村局负责本区的农机购置补贴信息公开工作，在主动公开本区工作信息的同时，切实加强对镇（街道）农机购置补贴政策信息公开的业务指导和工作协调。</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区、镇（街道）两级农业农村局要按照要求，认真做好有关信息报送传递工作。</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建立和完善农机购置补贴政策信息公开长效机制。区、镇（街道）农业农村局要把农机购置补贴政策信息公开纳入年度工作计划，与农机购置补贴实施和农业机械化其它工作统筹考虑、统一部署、协调推进，构建补贴政策信息公开的长效机制。要明确承办机构和责任人，主要领导亲自抓督促、抓协调、抓落实。把补贴政策信息公开与各项业务工作结合起来，在人员配备、经费安排等方面予以充分保障，做到补贴政策信息公开工作有专门机构负责，有专业人员管理，有专项经费支持。进一步明确工作目标，细化工作任务，规范公开程序，创新工作形式。加强教育培训，组织干部职工重点学习有关文件，提高工作人员思想认识和工作能力。</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加强农机购置补贴政策信息公开工作考核。在现有工作的基础上，进一步完善考核评价办法。区农业农村局要加强对各镇（街道）贯彻落实信息公开工作的监督检查。将农机购置补贴政策信息公开情况作为考评农机购置补贴政策落实情况的重要内容，督促和指导各镇（街道）及时、认真地落实各项工作措施，确保取得实效。</w:t>
      </w:r>
    </w:p>
    <w:p>
      <w:pPr>
        <w:spacing w:line="560" w:lineRule="exact"/>
        <w:ind w:firstLine="640" w:firstLineChars="20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六、风险点及防控应对策略（风险等级：一般）</w:t>
      </w:r>
    </w:p>
    <w:tbl>
      <w:tblPr>
        <w:tblStyle w:val="6"/>
        <w:tblW w:w="878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3404"/>
        <w:gridCol w:w="538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60" w:hRule="atLeast"/>
        </w:trPr>
        <w:tc>
          <w:tcPr>
            <w:tcW w:w="3404" w:type="dxa"/>
            <w:vAlign w:val="center"/>
          </w:tcPr>
          <w:p>
            <w:pPr>
              <w:spacing w:line="560" w:lineRule="exact"/>
              <w:jc w:val="cente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风险点</w:t>
            </w:r>
          </w:p>
        </w:tc>
        <w:tc>
          <w:tcPr>
            <w:tcW w:w="5385" w:type="dxa"/>
            <w:vAlign w:val="center"/>
          </w:tcPr>
          <w:p>
            <w:pPr>
              <w:spacing w:line="560" w:lineRule="exact"/>
              <w:jc w:val="cente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防控应对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98" w:hRule="atLeast"/>
        </w:trPr>
        <w:tc>
          <w:tcPr>
            <w:tcW w:w="3404" w:type="dxa"/>
            <w:vAlign w:val="center"/>
          </w:tcPr>
          <w:p>
            <w:pPr>
              <w:pStyle w:val="19"/>
              <w:spacing w:line="560" w:lineRule="exact"/>
              <w:ind w:left="108"/>
              <w:jc w:val="both"/>
              <w:rPr>
                <w:rFonts w:ascii="楷体" w:hAnsi="楷体" w:eastAsia="楷体" w:cs="楷体"/>
                <w:kern w:val="2"/>
                <w:sz w:val="32"/>
                <w:szCs w:val="32"/>
                <w:lang w:val="en-US"/>
              </w:rPr>
            </w:pPr>
            <w:r>
              <w:rPr>
                <w:rFonts w:hint="eastAsia" w:ascii="楷体" w:hAnsi="楷体" w:eastAsia="楷体" w:cs="楷体"/>
                <w:kern w:val="2"/>
                <w:sz w:val="32"/>
                <w:szCs w:val="32"/>
                <w:lang w:val="en-US"/>
              </w:rPr>
              <w:t>政策咨询答复时间是否合规</w:t>
            </w:r>
          </w:p>
        </w:tc>
        <w:tc>
          <w:tcPr>
            <w:tcW w:w="5385" w:type="dxa"/>
            <w:vAlign w:val="center"/>
          </w:tcPr>
          <w:p>
            <w:pPr>
              <w:pStyle w:val="19"/>
              <w:spacing w:line="560" w:lineRule="exact"/>
              <w:ind w:left="117"/>
              <w:jc w:val="both"/>
              <w:rPr>
                <w:rFonts w:ascii="楷体" w:hAnsi="楷体" w:eastAsia="楷体" w:cs="楷体"/>
                <w:kern w:val="2"/>
                <w:sz w:val="32"/>
                <w:szCs w:val="32"/>
                <w:lang w:val="en-US"/>
              </w:rPr>
            </w:pPr>
            <w:r>
              <w:rPr>
                <w:rFonts w:hint="eastAsia" w:ascii="楷体" w:hAnsi="楷体" w:eastAsia="楷体" w:cs="楷体"/>
                <w:kern w:val="2"/>
                <w:sz w:val="32"/>
                <w:szCs w:val="32"/>
                <w:lang w:val="en-US"/>
              </w:rPr>
              <w:t>能当场答复的立即答复，不能当场答复的</w:t>
            </w:r>
            <w:r>
              <w:rPr>
                <w:rFonts w:ascii="楷体" w:hAnsi="楷体" w:eastAsia="楷体" w:cs="楷体"/>
                <w:kern w:val="2"/>
                <w:sz w:val="32"/>
                <w:szCs w:val="32"/>
                <w:lang w:val="en-US"/>
              </w:rPr>
              <w:t xml:space="preserve"> 3 </w:t>
            </w:r>
            <w:r>
              <w:rPr>
                <w:rFonts w:hint="eastAsia" w:ascii="楷体" w:hAnsi="楷体" w:eastAsia="楷体" w:cs="楷体"/>
                <w:kern w:val="2"/>
                <w:sz w:val="32"/>
                <w:szCs w:val="32"/>
                <w:lang w:val="en-US"/>
              </w:rPr>
              <w:t>个工作日答复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404" w:type="dxa"/>
            <w:vAlign w:val="center"/>
          </w:tcPr>
          <w:p>
            <w:pPr>
              <w:pStyle w:val="19"/>
              <w:spacing w:line="560" w:lineRule="exact"/>
              <w:ind w:left="108"/>
              <w:jc w:val="both"/>
              <w:rPr>
                <w:rFonts w:ascii="楷体" w:hAnsi="楷体" w:eastAsia="楷体" w:cs="楷体"/>
                <w:kern w:val="2"/>
                <w:sz w:val="32"/>
                <w:szCs w:val="32"/>
                <w:lang w:val="en-US"/>
              </w:rPr>
            </w:pPr>
            <w:r>
              <w:rPr>
                <w:rFonts w:hint="eastAsia" w:ascii="楷体" w:hAnsi="楷体" w:eastAsia="楷体" w:cs="楷体"/>
                <w:kern w:val="2"/>
                <w:sz w:val="32"/>
                <w:szCs w:val="32"/>
                <w:lang w:val="en-US"/>
              </w:rPr>
              <w:t>政策宣传掌握尺度是否合规</w:t>
            </w:r>
          </w:p>
        </w:tc>
        <w:tc>
          <w:tcPr>
            <w:tcW w:w="5385" w:type="dxa"/>
            <w:vAlign w:val="center"/>
          </w:tcPr>
          <w:p>
            <w:pPr>
              <w:pStyle w:val="19"/>
              <w:spacing w:line="560" w:lineRule="exact"/>
              <w:ind w:left="117"/>
              <w:jc w:val="both"/>
              <w:rPr>
                <w:rFonts w:ascii="楷体" w:hAnsi="楷体" w:eastAsia="楷体" w:cs="楷体"/>
                <w:kern w:val="2"/>
                <w:sz w:val="32"/>
                <w:szCs w:val="32"/>
                <w:lang w:val="en-US"/>
              </w:rPr>
            </w:pPr>
            <w:r>
              <w:rPr>
                <w:rFonts w:hint="eastAsia" w:ascii="楷体" w:hAnsi="楷体" w:eastAsia="楷体" w:cs="楷体"/>
                <w:kern w:val="2"/>
                <w:sz w:val="32"/>
                <w:szCs w:val="32"/>
                <w:lang w:val="en-US"/>
              </w:rPr>
              <w:t>严格执行政策文件中的内容要求，加强学习，不随意变更政策执行标准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404" w:type="dxa"/>
            <w:vAlign w:val="center"/>
          </w:tcPr>
          <w:p>
            <w:pPr>
              <w:pStyle w:val="19"/>
              <w:spacing w:line="560" w:lineRule="exact"/>
              <w:ind w:left="108" w:right="21"/>
              <w:jc w:val="both"/>
              <w:rPr>
                <w:rFonts w:ascii="楷体" w:hAnsi="楷体" w:eastAsia="楷体" w:cs="楷体"/>
                <w:kern w:val="2"/>
                <w:sz w:val="32"/>
                <w:szCs w:val="32"/>
                <w:lang w:val="en-US"/>
              </w:rPr>
            </w:pPr>
            <w:r>
              <w:rPr>
                <w:rFonts w:hint="eastAsia" w:ascii="楷体" w:hAnsi="楷体" w:eastAsia="楷体" w:cs="楷体"/>
                <w:kern w:val="2"/>
                <w:sz w:val="32"/>
                <w:szCs w:val="32"/>
                <w:lang w:val="en-US"/>
              </w:rPr>
              <w:t>待公开信息发布前是否通过审查</w:t>
            </w:r>
          </w:p>
        </w:tc>
        <w:tc>
          <w:tcPr>
            <w:tcW w:w="5385" w:type="dxa"/>
            <w:vAlign w:val="center"/>
          </w:tcPr>
          <w:p>
            <w:pPr>
              <w:pStyle w:val="19"/>
              <w:spacing w:line="560" w:lineRule="exact"/>
              <w:ind w:left="117" w:right="71"/>
              <w:jc w:val="both"/>
              <w:rPr>
                <w:rFonts w:ascii="楷体" w:hAnsi="楷体" w:eastAsia="楷体" w:cs="楷体"/>
                <w:kern w:val="2"/>
                <w:sz w:val="32"/>
                <w:szCs w:val="32"/>
                <w:lang w:val="en-US"/>
              </w:rPr>
            </w:pPr>
            <w:r>
              <w:rPr>
                <w:rFonts w:hint="eastAsia" w:ascii="楷体" w:hAnsi="楷体" w:eastAsia="楷体" w:cs="楷体"/>
                <w:kern w:val="2"/>
                <w:sz w:val="32"/>
                <w:szCs w:val="32"/>
                <w:lang w:val="en-US"/>
              </w:rPr>
              <w:t>按规定栏目和内容进行公开，办公室负责公开信息的合规性审查，未审查、审查不通过和涉密、涉及隐私的信息不公开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404" w:type="dxa"/>
            <w:vAlign w:val="center"/>
          </w:tcPr>
          <w:p>
            <w:pPr>
              <w:pStyle w:val="19"/>
              <w:spacing w:line="560" w:lineRule="exact"/>
              <w:ind w:left="108"/>
              <w:jc w:val="both"/>
              <w:rPr>
                <w:rFonts w:ascii="楷体" w:hAnsi="楷体" w:eastAsia="楷体" w:cs="楷体"/>
                <w:kern w:val="2"/>
                <w:sz w:val="32"/>
                <w:szCs w:val="32"/>
                <w:lang w:val="en-US"/>
              </w:rPr>
            </w:pPr>
            <w:r>
              <w:rPr>
                <w:rFonts w:hint="eastAsia" w:ascii="楷体" w:hAnsi="楷体" w:eastAsia="楷体" w:cs="楷体"/>
                <w:kern w:val="2"/>
                <w:sz w:val="32"/>
                <w:szCs w:val="32"/>
                <w:lang w:val="en-US"/>
              </w:rPr>
              <w:t>公开信息的发布、修改和更新</w:t>
            </w:r>
          </w:p>
        </w:tc>
        <w:tc>
          <w:tcPr>
            <w:tcW w:w="5385" w:type="dxa"/>
            <w:vAlign w:val="center"/>
          </w:tcPr>
          <w:p>
            <w:pPr>
              <w:pStyle w:val="19"/>
              <w:spacing w:line="560" w:lineRule="exact"/>
              <w:ind w:left="117"/>
              <w:jc w:val="both"/>
              <w:rPr>
                <w:rFonts w:ascii="楷体" w:hAnsi="楷体" w:eastAsia="楷体" w:cs="楷体"/>
                <w:kern w:val="2"/>
                <w:sz w:val="32"/>
                <w:szCs w:val="32"/>
                <w:lang w:val="en-US"/>
              </w:rPr>
            </w:pPr>
            <w:r>
              <w:rPr>
                <w:rFonts w:hint="eastAsia" w:ascii="楷体" w:hAnsi="楷体" w:eastAsia="楷体" w:cs="楷体"/>
                <w:kern w:val="2"/>
                <w:sz w:val="32"/>
                <w:szCs w:val="32"/>
                <w:lang w:val="en-US"/>
              </w:rPr>
              <w:t>专人负责，逐级审核，按旬维护，按月更新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404" w:type="dxa"/>
            <w:vAlign w:val="center"/>
          </w:tcPr>
          <w:p>
            <w:pPr>
              <w:pStyle w:val="19"/>
              <w:spacing w:line="560" w:lineRule="exact"/>
              <w:ind w:left="108"/>
              <w:jc w:val="both"/>
              <w:rPr>
                <w:rFonts w:ascii="楷体" w:hAnsi="楷体" w:eastAsia="楷体" w:cs="楷体"/>
                <w:kern w:val="2"/>
                <w:sz w:val="32"/>
                <w:szCs w:val="32"/>
                <w:lang w:val="en-US"/>
              </w:rPr>
            </w:pPr>
            <w:r>
              <w:rPr>
                <w:rFonts w:hint="eastAsia" w:ascii="楷体" w:hAnsi="楷体" w:eastAsia="楷体" w:cs="楷体"/>
                <w:kern w:val="2"/>
                <w:sz w:val="32"/>
                <w:szCs w:val="32"/>
                <w:lang w:val="en-US"/>
              </w:rPr>
              <w:t>信息公开工作职责是否到位</w:t>
            </w:r>
          </w:p>
        </w:tc>
        <w:tc>
          <w:tcPr>
            <w:tcW w:w="5385" w:type="dxa"/>
            <w:vAlign w:val="center"/>
          </w:tcPr>
          <w:p>
            <w:pPr>
              <w:pStyle w:val="19"/>
              <w:spacing w:line="560" w:lineRule="exact"/>
              <w:ind w:left="117"/>
              <w:jc w:val="both"/>
              <w:rPr>
                <w:rFonts w:ascii="楷体" w:hAnsi="楷体" w:eastAsia="楷体" w:cs="楷体"/>
                <w:kern w:val="2"/>
                <w:sz w:val="32"/>
                <w:szCs w:val="32"/>
                <w:lang w:val="en-US"/>
              </w:rPr>
            </w:pPr>
            <w:r>
              <w:rPr>
                <w:rFonts w:hint="eastAsia" w:ascii="楷体" w:hAnsi="楷体" w:eastAsia="楷体" w:cs="楷体"/>
                <w:kern w:val="2"/>
                <w:sz w:val="32"/>
                <w:szCs w:val="32"/>
                <w:lang w:val="en-US"/>
              </w:rPr>
              <w:t>对梳理和采集信息建立工作岗位负责制</w:t>
            </w:r>
          </w:p>
        </w:tc>
      </w:tr>
    </w:tbl>
    <w:p/>
    <w:p>
      <w:pPr>
        <w:adjustRightInd w:val="0"/>
        <w:snapToGrid w:val="0"/>
        <w:spacing w:line="560" w:lineRule="exact"/>
        <w:rPr>
          <w:rFonts w:ascii="仿宋_GB2312" w:hAnsi="仿宋_GB2312" w:eastAsia="仿宋_GB2312" w:cs="仿宋_GB2312"/>
          <w:sz w:val="32"/>
          <w:szCs w:val="32"/>
        </w:rPr>
      </w:pPr>
    </w:p>
    <w:p>
      <w:pPr>
        <w:adjustRightInd w:val="0"/>
        <w:snapToGrid w:val="0"/>
        <w:spacing w:line="560" w:lineRule="exact"/>
        <w:rPr>
          <w:rFonts w:ascii="仿宋_GB2312" w:hAnsi="仿宋_GB2312" w:eastAsia="仿宋_GB2312" w:cs="仿宋_GB2312"/>
          <w:sz w:val="32"/>
          <w:szCs w:val="32"/>
        </w:rPr>
      </w:pPr>
    </w:p>
    <w:p>
      <w:pPr>
        <w:adjustRightInd w:val="0"/>
        <w:snapToGrid w:val="0"/>
        <w:spacing w:line="560" w:lineRule="exact"/>
        <w:rPr>
          <w:rFonts w:ascii="仿宋_GB2312" w:hAnsi="仿宋_GB2312" w:eastAsia="仿宋_GB2312" w:cs="仿宋_GB2312"/>
          <w:sz w:val="32"/>
          <w:szCs w:val="32"/>
        </w:rPr>
      </w:pPr>
    </w:p>
    <w:p>
      <w:pPr>
        <w:adjustRightInd w:val="0"/>
        <w:snapToGrid w:val="0"/>
        <w:spacing w:line="560" w:lineRule="exact"/>
        <w:rPr>
          <w:rFonts w:ascii="仿宋_GB2312" w:hAnsi="仿宋_GB2312" w:eastAsia="仿宋_GB2312" w:cs="仿宋_GB2312"/>
          <w:sz w:val="32"/>
          <w:szCs w:val="32"/>
        </w:rPr>
      </w:pPr>
    </w:p>
    <w:p>
      <w:pPr>
        <w:adjustRightInd w:val="0"/>
        <w:snapToGrid w:val="0"/>
        <w:spacing w:line="560" w:lineRule="exact"/>
        <w:rPr>
          <w:rFonts w:ascii="仿宋_GB2312" w:hAnsi="仿宋_GB2312" w:eastAsia="仿宋_GB2312" w:cs="仿宋_GB2312"/>
          <w:sz w:val="32"/>
          <w:szCs w:val="32"/>
        </w:rPr>
      </w:pPr>
    </w:p>
    <w:p>
      <w:pPr>
        <w:adjustRightInd w:val="0"/>
        <w:snapToGrid w:val="0"/>
        <w:spacing w:line="560" w:lineRule="exact"/>
        <w:rPr>
          <w:rFonts w:ascii="仿宋_GB2312" w:hAnsi="仿宋_GB2312" w:eastAsia="仿宋_GB2312" w:cs="仿宋_GB2312"/>
          <w:sz w:val="32"/>
          <w:szCs w:val="32"/>
        </w:rPr>
      </w:pPr>
    </w:p>
    <w:p>
      <w:pPr>
        <w:adjustRightInd w:val="0"/>
        <w:snapToGrid w:val="0"/>
        <w:spacing w:line="56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附件</w:t>
      </w:r>
      <w:r>
        <w:rPr>
          <w:rFonts w:ascii="仿宋_GB2312" w:hAnsi="仿宋_GB2312" w:eastAsia="仿宋_GB2312" w:cs="仿宋_GB2312"/>
          <w:sz w:val="32"/>
          <w:szCs w:val="32"/>
        </w:rPr>
        <w:t>5</w:t>
      </w:r>
    </w:p>
    <w:p>
      <w:pPr>
        <w:spacing w:line="560" w:lineRule="exact"/>
        <w:rPr>
          <w:rFonts w:ascii="仿宋_GB2312" w:hAnsi="仿宋" w:eastAsia="仿宋_GB2312"/>
          <w:sz w:val="32"/>
          <w:szCs w:val="32"/>
        </w:rPr>
      </w:pPr>
    </w:p>
    <w:p>
      <w:pPr>
        <w:adjustRightInd w:val="0"/>
        <w:snapToGrid w:val="0"/>
        <w:spacing w:line="680" w:lineRule="exac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海陵区农机购置补贴政策落实</w:t>
      </w:r>
    </w:p>
    <w:p>
      <w:pPr>
        <w:adjustRightInd w:val="0"/>
        <w:snapToGrid w:val="0"/>
        <w:spacing w:line="680" w:lineRule="exac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延伸绩效管理制度</w:t>
      </w:r>
    </w:p>
    <w:p>
      <w:pPr>
        <w:widowControl/>
        <w:shd w:val="clear" w:color="auto" w:fill="FFFFFF"/>
        <w:spacing w:line="400" w:lineRule="exact"/>
        <w:ind w:firstLine="640" w:firstLineChars="200"/>
        <w:rPr>
          <w:rFonts w:ascii="宋体" w:cs="宋体"/>
          <w:sz w:val="32"/>
          <w:szCs w:val="32"/>
        </w:rPr>
      </w:pP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农机购置补贴政策是国家重要的强农惠农富农政策，为农机化持续健康发展发挥了积极作用。为提高政策实施效果，确保农机购置补贴政策落实到位，根据省农机局关于农机购置补贴绩效管理工作要求，特制定本制度。</w:t>
      </w:r>
    </w:p>
    <w:p>
      <w:pPr>
        <w:spacing w:line="560" w:lineRule="exact"/>
        <w:ind w:firstLine="640" w:firstLineChars="20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一、总体思路</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认真贯彻落实上级部门关于加快政府职能转变、推进政府绩效管理的决策部署，扎实开展农机购置补贴政策落实延伸绩效管理工作，按照动态管理、逐级考评的原则，加强制度建设，健全考核体系，规范政策实施，努力提高实施成效，为推进农业机械化发展、服务现代农业、促进农民增收提供重要保障。　　</w:t>
      </w:r>
    </w:p>
    <w:p>
      <w:pPr>
        <w:spacing w:line="560" w:lineRule="exact"/>
        <w:ind w:firstLine="640" w:firstLineChars="20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二、评估考核范围及考核指标</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农机购置补贴政策落实延伸绩效管理考核范围，覆盖全区所有实施农机购置补贴的镇（街道）。</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农机购置补贴政策落实延伸绩效管理主要评估：制度建设、重点工作</w:t>
      </w:r>
      <w:r>
        <w:rPr>
          <w:rFonts w:ascii="仿宋_GB2312" w:hAnsi="仿宋_GB2312" w:eastAsia="仿宋_GB2312" w:cs="仿宋_GB2312"/>
          <w:sz w:val="32"/>
          <w:szCs w:val="32"/>
        </w:rPr>
        <w:t>2</w:t>
      </w:r>
      <w:r>
        <w:rPr>
          <w:rFonts w:hint="eastAsia" w:ascii="仿宋_GB2312" w:hAnsi="仿宋_GB2312" w:eastAsia="仿宋_GB2312" w:cs="仿宋_GB2312"/>
          <w:sz w:val="32"/>
          <w:szCs w:val="32"/>
        </w:rPr>
        <w:t>个一级指标，</w:t>
      </w:r>
      <w:r>
        <w:rPr>
          <w:rFonts w:ascii="仿宋_GB2312" w:hAnsi="仿宋_GB2312" w:eastAsia="仿宋_GB2312" w:cs="仿宋_GB2312"/>
          <w:sz w:val="32"/>
          <w:szCs w:val="32"/>
        </w:rPr>
        <w:t>10</w:t>
      </w:r>
      <w:r>
        <w:rPr>
          <w:rFonts w:hint="eastAsia" w:ascii="仿宋_GB2312" w:hAnsi="仿宋_GB2312" w:eastAsia="仿宋_GB2312" w:cs="仿宋_GB2312"/>
          <w:sz w:val="32"/>
          <w:szCs w:val="32"/>
        </w:rPr>
        <w:t>个二级指标，同时实行扣分项、加分项及一票否决。绩效管理的考核评分采取百分制，评分标准分项列出，各项之间相互独立。根据得分将评价结果分为</w:t>
      </w:r>
      <w:r>
        <w:rPr>
          <w:rFonts w:ascii="仿宋_GB2312" w:hAnsi="仿宋_GB2312" w:eastAsia="仿宋_GB2312" w:cs="仿宋_GB2312"/>
          <w:sz w:val="32"/>
          <w:szCs w:val="32"/>
        </w:rPr>
        <w:t>4</w:t>
      </w:r>
      <w:r>
        <w:rPr>
          <w:rFonts w:hint="eastAsia" w:ascii="仿宋_GB2312" w:hAnsi="仿宋_GB2312" w:eastAsia="仿宋_GB2312" w:cs="仿宋_GB2312"/>
          <w:sz w:val="32"/>
          <w:szCs w:val="32"/>
        </w:rPr>
        <w:t>个等级：</w:t>
      </w:r>
      <w:r>
        <w:rPr>
          <w:rFonts w:ascii="仿宋_GB2312" w:hAnsi="仿宋_GB2312" w:eastAsia="仿宋_GB2312" w:cs="仿宋_GB2312"/>
          <w:sz w:val="32"/>
          <w:szCs w:val="32"/>
        </w:rPr>
        <w:t>90</w:t>
      </w:r>
      <w:r>
        <w:rPr>
          <w:rFonts w:hint="eastAsia" w:ascii="仿宋_GB2312" w:hAnsi="仿宋_GB2312" w:eastAsia="仿宋_GB2312" w:cs="仿宋_GB2312"/>
          <w:sz w:val="32"/>
          <w:szCs w:val="32"/>
        </w:rPr>
        <w:t>分以上为优秀，</w:t>
      </w:r>
      <w:r>
        <w:rPr>
          <w:rFonts w:ascii="仿宋_GB2312" w:hAnsi="仿宋_GB2312" w:eastAsia="仿宋_GB2312" w:cs="仿宋_GB2312"/>
          <w:sz w:val="32"/>
          <w:szCs w:val="32"/>
        </w:rPr>
        <w:t>80-89</w:t>
      </w:r>
      <w:r>
        <w:rPr>
          <w:rFonts w:hint="eastAsia" w:ascii="仿宋_GB2312" w:hAnsi="仿宋_GB2312" w:eastAsia="仿宋_GB2312" w:cs="仿宋_GB2312"/>
          <w:sz w:val="32"/>
          <w:szCs w:val="32"/>
        </w:rPr>
        <w:t>分的为良好，</w:t>
      </w:r>
      <w:r>
        <w:rPr>
          <w:rFonts w:ascii="仿宋_GB2312" w:hAnsi="仿宋_GB2312" w:eastAsia="仿宋_GB2312" w:cs="仿宋_GB2312"/>
          <w:sz w:val="32"/>
          <w:szCs w:val="32"/>
        </w:rPr>
        <w:t>60-79</w:t>
      </w:r>
      <w:r>
        <w:rPr>
          <w:rFonts w:hint="eastAsia" w:ascii="仿宋_GB2312" w:hAnsi="仿宋_GB2312" w:eastAsia="仿宋_GB2312" w:cs="仿宋_GB2312"/>
          <w:sz w:val="32"/>
          <w:szCs w:val="32"/>
        </w:rPr>
        <w:t>分的为合格、</w:t>
      </w:r>
      <w:r>
        <w:rPr>
          <w:rFonts w:ascii="仿宋_GB2312" w:hAnsi="仿宋_GB2312" w:eastAsia="仿宋_GB2312" w:cs="仿宋_GB2312"/>
          <w:sz w:val="32"/>
          <w:szCs w:val="32"/>
        </w:rPr>
        <w:t>60</w:t>
      </w:r>
      <w:r>
        <w:rPr>
          <w:rFonts w:hint="eastAsia" w:ascii="仿宋_GB2312" w:hAnsi="仿宋_GB2312" w:eastAsia="仿宋_GB2312" w:cs="仿宋_GB2312"/>
          <w:sz w:val="32"/>
          <w:szCs w:val="32"/>
        </w:rPr>
        <w:t>分以下的为不合格。</w:t>
      </w:r>
    </w:p>
    <w:p>
      <w:pPr>
        <w:spacing w:line="560" w:lineRule="exact"/>
        <w:ind w:firstLine="640" w:firstLineChars="20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三、考核办法及时间安排</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（一）自评阶段。</w:t>
      </w:r>
      <w:r>
        <w:rPr>
          <w:rFonts w:ascii="仿宋_GB2312" w:hAnsi="仿宋_GB2312" w:eastAsia="仿宋_GB2312" w:cs="仿宋_GB2312"/>
          <w:sz w:val="32"/>
          <w:szCs w:val="32"/>
        </w:rPr>
        <w:t>12</w:t>
      </w:r>
      <w:r>
        <w:rPr>
          <w:rFonts w:hint="eastAsia" w:ascii="仿宋_GB2312" w:hAnsi="仿宋_GB2312" w:eastAsia="仿宋_GB2312" w:cs="仿宋_GB2312"/>
          <w:sz w:val="32"/>
          <w:szCs w:val="32"/>
        </w:rPr>
        <w:t>月</w:t>
      </w:r>
      <w:r>
        <w:rPr>
          <w:rFonts w:ascii="仿宋_GB2312" w:hAnsi="仿宋_GB2312" w:eastAsia="仿宋_GB2312" w:cs="仿宋_GB2312"/>
          <w:sz w:val="32"/>
          <w:szCs w:val="32"/>
        </w:rPr>
        <w:t>15</w:t>
      </w:r>
      <w:r>
        <w:rPr>
          <w:rFonts w:hint="eastAsia" w:ascii="仿宋_GB2312" w:hAnsi="仿宋_GB2312" w:eastAsia="仿宋_GB2312" w:cs="仿宋_GB2312"/>
          <w:sz w:val="32"/>
          <w:szCs w:val="32"/>
        </w:rPr>
        <w:t>日前，由各镇（街道）对照农机购置补贴政策落实延伸绩效管理考核评分办法，自评打分，形成自评报告，报区农业农村局。</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（二）查验核实。</w:t>
      </w:r>
      <w:r>
        <w:rPr>
          <w:rFonts w:ascii="仿宋_GB2312" w:hAnsi="仿宋_GB2312" w:eastAsia="仿宋_GB2312" w:cs="仿宋_GB2312"/>
          <w:sz w:val="32"/>
          <w:szCs w:val="32"/>
        </w:rPr>
        <w:t>12</w:t>
      </w:r>
      <w:r>
        <w:rPr>
          <w:rFonts w:hint="eastAsia" w:ascii="仿宋_GB2312" w:hAnsi="仿宋_GB2312" w:eastAsia="仿宋_GB2312" w:cs="仿宋_GB2312"/>
          <w:sz w:val="32"/>
          <w:szCs w:val="32"/>
        </w:rPr>
        <w:t>月</w:t>
      </w:r>
      <w:r>
        <w:rPr>
          <w:rFonts w:ascii="仿宋_GB2312" w:hAnsi="仿宋_GB2312" w:eastAsia="仿宋_GB2312" w:cs="仿宋_GB2312"/>
          <w:sz w:val="32"/>
          <w:szCs w:val="32"/>
        </w:rPr>
        <w:t>20</w:t>
      </w:r>
      <w:r>
        <w:rPr>
          <w:rFonts w:hint="eastAsia" w:ascii="仿宋_GB2312" w:hAnsi="仿宋_GB2312" w:eastAsia="仿宋_GB2312" w:cs="仿宋_GB2312"/>
          <w:sz w:val="32"/>
          <w:szCs w:val="32"/>
        </w:rPr>
        <w:t>日前，区农业农村局采取资料查看与实地抽查相结合的方式，对各镇（街道）自评报告和自评得分进行查验核实。资料审查：对各镇（街道）报送的绩效自评报告进行核实，并对每一项指标进行初步打分，必要时要求镇（街道）补充相关材料。实地考核：组织人员，采取随机抽查的方式对部分乡镇相关政策落实情况进行实地考核，形成区级核查得分。与镇（街道）自评分差异较大的，需沟通协商，并附情况说明。</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（三）综合评估。</w:t>
      </w:r>
      <w:r>
        <w:rPr>
          <w:rFonts w:ascii="仿宋_GB2312" w:hAnsi="仿宋_GB2312" w:eastAsia="仿宋_GB2312" w:cs="仿宋_GB2312"/>
          <w:sz w:val="32"/>
          <w:szCs w:val="32"/>
        </w:rPr>
        <w:t>12</w:t>
      </w:r>
      <w:r>
        <w:rPr>
          <w:rFonts w:hint="eastAsia" w:ascii="仿宋_GB2312" w:hAnsi="仿宋_GB2312" w:eastAsia="仿宋_GB2312" w:cs="仿宋_GB2312"/>
          <w:sz w:val="32"/>
          <w:szCs w:val="32"/>
        </w:rPr>
        <w:t>月</w:t>
      </w:r>
      <w:r>
        <w:rPr>
          <w:rFonts w:ascii="仿宋_GB2312" w:hAnsi="仿宋_GB2312" w:eastAsia="仿宋_GB2312" w:cs="仿宋_GB2312"/>
          <w:sz w:val="32"/>
          <w:szCs w:val="32"/>
        </w:rPr>
        <w:t>30</w:t>
      </w:r>
      <w:r>
        <w:rPr>
          <w:rFonts w:hint="eastAsia" w:ascii="仿宋_GB2312" w:hAnsi="仿宋_GB2312" w:eastAsia="仿宋_GB2312" w:cs="仿宋_GB2312"/>
          <w:sz w:val="32"/>
          <w:szCs w:val="32"/>
        </w:rPr>
        <w:t>日前，区农业农村局根据日常工作实际情况，结合查验核实情况，形成综合评定分数，最终确定乡镇（街道）考评结果。</w:t>
      </w:r>
    </w:p>
    <w:p>
      <w:pPr>
        <w:spacing w:line="560" w:lineRule="exact"/>
        <w:ind w:firstLine="640" w:firstLineChars="20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四、结果运用</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区农业农村局通过对延伸绩效管理考核结果的汇总分析，提出改进措施和建议，进一步提高工作成效。考核结果与工作经费安排等挂钩，对操作规范、成效突出的镇（街道）进行表彰；对责任落实不到位、监督管理不力、资金结算兑付较慢的镇（街道）进行通报批评。</w:t>
      </w:r>
    </w:p>
    <w:p>
      <w:pPr>
        <w:spacing w:line="560" w:lineRule="exact"/>
        <w:ind w:firstLine="640" w:firstLineChars="20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五、保障措施</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（一）加强组织协调。各镇（街道）要充分认识延伸绩效管理工作的重要意义，建立工作责任制，明确绩效管理的责任人和工作内容，确保绩效管理各项工作顺利推进。</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加强督促检查。要加强延伸绩效管理工作的督促检查，不定期对农机购置补贴政策落实情况进行监督检查，对督查中发现的问题要及时梳理，采取有效措施进行整改。要健全农机购置补贴廉政风险防控机制，完善“预防、教育、监督、惩治”并重的腐败惩防体系，确保各项规定和监督措施落实到位。</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规范开展绩效考核。要加强常态化管理，坚持日常管理、随机抽查、专项督导等相结合，进一步规范工作流程，细化工作措施，不断深化延伸绩效管理工作。严格按照时间节点要求，把握实施进度，适时组织开展考核，确保绩效考核工作保质保量按时完成。</w:t>
      </w:r>
    </w:p>
    <w:p>
      <w:pPr>
        <w:spacing w:line="560" w:lineRule="exact"/>
        <w:ind w:firstLine="640" w:firstLineChars="20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六、风险点及防控应对策略（风险等级：一般）</w:t>
      </w:r>
    </w:p>
    <w:tbl>
      <w:tblPr>
        <w:tblStyle w:val="6"/>
        <w:tblW w:w="944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3510"/>
        <w:gridCol w:w="593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510" w:type="dxa"/>
            <w:vAlign w:val="center"/>
          </w:tcPr>
          <w:p>
            <w:pPr>
              <w:spacing w:line="520" w:lineRule="exact"/>
              <w:jc w:val="center"/>
              <w:rPr>
                <w:rFonts w:ascii="楷体" w:hAnsi="楷体" w:eastAsia="楷体" w:cs="楷体"/>
                <w:b/>
                <w:bCs/>
                <w:sz w:val="30"/>
                <w:szCs w:val="30"/>
              </w:rPr>
            </w:pPr>
            <w:r>
              <w:rPr>
                <w:rFonts w:hint="eastAsia" w:ascii="楷体" w:hAnsi="楷体" w:eastAsia="楷体" w:cs="楷体"/>
                <w:b/>
                <w:bCs/>
                <w:sz w:val="30"/>
                <w:szCs w:val="30"/>
              </w:rPr>
              <w:t>风险点</w:t>
            </w:r>
          </w:p>
        </w:tc>
        <w:tc>
          <w:tcPr>
            <w:tcW w:w="5936" w:type="dxa"/>
            <w:vAlign w:val="center"/>
          </w:tcPr>
          <w:p>
            <w:pPr>
              <w:spacing w:line="520" w:lineRule="exact"/>
              <w:jc w:val="center"/>
              <w:rPr>
                <w:rFonts w:ascii="楷体" w:hAnsi="楷体" w:eastAsia="楷体" w:cs="楷体"/>
                <w:b/>
                <w:bCs/>
                <w:sz w:val="30"/>
                <w:szCs w:val="30"/>
              </w:rPr>
            </w:pPr>
            <w:r>
              <w:rPr>
                <w:rFonts w:hint="eastAsia" w:ascii="楷体" w:hAnsi="楷体" w:eastAsia="楷体" w:cs="楷体"/>
                <w:b/>
                <w:bCs/>
                <w:sz w:val="30"/>
                <w:szCs w:val="30"/>
              </w:rPr>
              <w:t>防控应对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87" w:hRule="atLeast"/>
        </w:trPr>
        <w:tc>
          <w:tcPr>
            <w:tcW w:w="3510" w:type="dxa"/>
          </w:tcPr>
          <w:p>
            <w:pPr>
              <w:pStyle w:val="19"/>
              <w:spacing w:line="400" w:lineRule="exact"/>
              <w:ind w:left="108"/>
              <w:rPr>
                <w:rFonts w:ascii="楷体" w:hAnsi="楷体" w:eastAsia="楷体" w:cs="楷体"/>
                <w:sz w:val="30"/>
                <w:szCs w:val="30"/>
              </w:rPr>
            </w:pPr>
            <w:r>
              <w:rPr>
                <w:rFonts w:hint="eastAsia" w:ascii="楷体" w:hAnsi="楷体" w:eastAsia="楷体" w:cs="楷体"/>
                <w:sz w:val="30"/>
                <w:szCs w:val="30"/>
              </w:rPr>
              <w:t>内部控制与绩效管理相脱节</w:t>
            </w:r>
          </w:p>
        </w:tc>
        <w:tc>
          <w:tcPr>
            <w:tcW w:w="5936" w:type="dxa"/>
          </w:tcPr>
          <w:p>
            <w:pPr>
              <w:pStyle w:val="19"/>
              <w:spacing w:line="400" w:lineRule="exact"/>
              <w:ind w:left="118"/>
              <w:rPr>
                <w:rFonts w:ascii="楷体" w:hAnsi="楷体" w:eastAsia="楷体" w:cs="楷体"/>
                <w:sz w:val="30"/>
                <w:szCs w:val="30"/>
              </w:rPr>
            </w:pPr>
            <w:r>
              <w:rPr>
                <w:rFonts w:hint="eastAsia" w:ascii="楷体" w:hAnsi="楷体" w:eastAsia="楷体" w:cs="楷体"/>
                <w:spacing w:val="-8"/>
                <w:sz w:val="30"/>
                <w:szCs w:val="30"/>
              </w:rPr>
              <w:t>把风险防控列入年度绩效管理考核重要内容，贯穿</w:t>
            </w:r>
            <w:r>
              <w:rPr>
                <w:rFonts w:hint="eastAsia" w:ascii="楷体" w:hAnsi="楷体" w:eastAsia="楷体" w:cs="楷体"/>
                <w:sz w:val="30"/>
                <w:szCs w:val="30"/>
              </w:rPr>
              <w:t>于农机购置补贴政策实施的全过程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trPr>
        <w:tc>
          <w:tcPr>
            <w:tcW w:w="3510" w:type="dxa"/>
          </w:tcPr>
          <w:p>
            <w:pPr>
              <w:pStyle w:val="19"/>
              <w:spacing w:line="400" w:lineRule="exact"/>
              <w:ind w:left="108"/>
              <w:rPr>
                <w:rFonts w:ascii="楷体" w:hAnsi="楷体" w:eastAsia="楷体" w:cs="楷体"/>
                <w:sz w:val="30"/>
                <w:szCs w:val="30"/>
              </w:rPr>
            </w:pPr>
            <w:r>
              <w:rPr>
                <w:rFonts w:hint="eastAsia" w:ascii="楷体" w:hAnsi="楷体" w:eastAsia="楷体" w:cs="楷体"/>
                <w:sz w:val="30"/>
                <w:szCs w:val="30"/>
              </w:rPr>
              <w:t>评价方案和指标体系不切合实际</w:t>
            </w:r>
          </w:p>
        </w:tc>
        <w:tc>
          <w:tcPr>
            <w:tcW w:w="5936" w:type="dxa"/>
          </w:tcPr>
          <w:p>
            <w:pPr>
              <w:pStyle w:val="19"/>
              <w:spacing w:line="400" w:lineRule="exact"/>
              <w:ind w:left="118"/>
              <w:rPr>
                <w:rFonts w:ascii="楷体" w:hAnsi="楷体" w:eastAsia="楷体" w:cs="楷体"/>
                <w:sz w:val="30"/>
                <w:szCs w:val="30"/>
              </w:rPr>
            </w:pPr>
            <w:r>
              <w:rPr>
                <w:rFonts w:hint="eastAsia" w:ascii="楷体" w:hAnsi="楷体" w:eastAsia="楷体" w:cs="楷体"/>
                <w:spacing w:val="-5"/>
                <w:sz w:val="30"/>
                <w:szCs w:val="30"/>
              </w:rPr>
              <w:t>经论证后公布年度绩效考核工作方案及评分依据，</w:t>
            </w:r>
            <w:r>
              <w:rPr>
                <w:rFonts w:hint="eastAsia" w:ascii="楷体" w:hAnsi="楷体" w:eastAsia="楷体" w:cs="楷体"/>
                <w:sz w:val="30"/>
                <w:szCs w:val="30"/>
              </w:rPr>
              <w:t>提高考核指标体系的合理性，防止暗箱操作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60" w:hRule="atLeast"/>
        </w:trPr>
        <w:tc>
          <w:tcPr>
            <w:tcW w:w="3510" w:type="dxa"/>
          </w:tcPr>
          <w:p>
            <w:pPr>
              <w:pStyle w:val="19"/>
              <w:spacing w:line="400" w:lineRule="exact"/>
              <w:rPr>
                <w:rFonts w:ascii="楷体" w:hAnsi="楷体" w:eastAsia="楷体" w:cs="楷体"/>
                <w:sz w:val="30"/>
                <w:szCs w:val="30"/>
              </w:rPr>
            </w:pPr>
          </w:p>
          <w:p>
            <w:pPr>
              <w:pStyle w:val="19"/>
              <w:spacing w:line="400" w:lineRule="exact"/>
              <w:ind w:left="108"/>
              <w:rPr>
                <w:rFonts w:ascii="楷体" w:hAnsi="楷体" w:eastAsia="楷体" w:cs="楷体"/>
                <w:sz w:val="30"/>
                <w:szCs w:val="30"/>
              </w:rPr>
            </w:pPr>
            <w:r>
              <w:rPr>
                <w:rFonts w:hint="eastAsia" w:ascii="楷体" w:hAnsi="楷体" w:eastAsia="楷体" w:cs="楷体"/>
                <w:sz w:val="30"/>
                <w:szCs w:val="30"/>
              </w:rPr>
              <w:t>考核的结果失真、不准确</w:t>
            </w:r>
          </w:p>
        </w:tc>
        <w:tc>
          <w:tcPr>
            <w:tcW w:w="5936" w:type="dxa"/>
          </w:tcPr>
          <w:p>
            <w:pPr>
              <w:pStyle w:val="19"/>
              <w:spacing w:line="400" w:lineRule="exact"/>
              <w:ind w:left="118" w:right="72"/>
              <w:rPr>
                <w:rFonts w:ascii="楷体" w:hAnsi="楷体" w:eastAsia="楷体" w:cs="楷体"/>
                <w:sz w:val="30"/>
                <w:szCs w:val="30"/>
              </w:rPr>
            </w:pPr>
            <w:r>
              <w:rPr>
                <w:rFonts w:hint="eastAsia" w:ascii="楷体" w:hAnsi="楷体" w:eastAsia="楷体" w:cs="楷体"/>
                <w:spacing w:val="-11"/>
                <w:sz w:val="30"/>
                <w:szCs w:val="30"/>
              </w:rPr>
              <w:t>层级监管、逐级评分考核，发挥各层级梯次的职能</w:t>
            </w:r>
            <w:r>
              <w:rPr>
                <w:rFonts w:hint="eastAsia" w:ascii="楷体" w:hAnsi="楷体" w:eastAsia="楷体" w:cs="楷体"/>
                <w:spacing w:val="-13"/>
                <w:sz w:val="30"/>
                <w:szCs w:val="30"/>
              </w:rPr>
              <w:t>作用；委托第三方中介机构进行抽查，体现考核的</w:t>
            </w:r>
            <w:r>
              <w:rPr>
                <w:rFonts w:hint="eastAsia" w:ascii="楷体" w:hAnsi="楷体" w:eastAsia="楷体" w:cs="楷体"/>
                <w:sz w:val="30"/>
                <w:szCs w:val="30"/>
              </w:rPr>
              <w:t>公平性和独立性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65" w:hRule="atLeast"/>
        </w:trPr>
        <w:tc>
          <w:tcPr>
            <w:tcW w:w="3510" w:type="dxa"/>
            <w:tcBorders>
              <w:bottom w:val="single" w:color="auto" w:sz="4" w:space="0"/>
            </w:tcBorders>
          </w:tcPr>
          <w:p>
            <w:pPr>
              <w:pStyle w:val="19"/>
              <w:spacing w:line="400" w:lineRule="exact"/>
              <w:rPr>
                <w:rFonts w:ascii="楷体" w:hAnsi="楷体" w:eastAsia="楷体" w:cs="楷体"/>
                <w:sz w:val="30"/>
                <w:szCs w:val="30"/>
              </w:rPr>
            </w:pPr>
          </w:p>
          <w:p>
            <w:pPr>
              <w:pStyle w:val="19"/>
              <w:spacing w:line="400" w:lineRule="exact"/>
              <w:ind w:left="108"/>
              <w:rPr>
                <w:rFonts w:ascii="楷体" w:hAnsi="楷体" w:eastAsia="楷体" w:cs="楷体"/>
                <w:sz w:val="30"/>
                <w:szCs w:val="30"/>
              </w:rPr>
            </w:pPr>
            <w:r>
              <w:rPr>
                <w:rFonts w:hint="eastAsia" w:ascii="楷体" w:hAnsi="楷体" w:eastAsia="楷体" w:cs="楷体"/>
                <w:sz w:val="30"/>
                <w:szCs w:val="30"/>
              </w:rPr>
              <w:t>存在弄虚作假行为</w:t>
            </w:r>
          </w:p>
        </w:tc>
        <w:tc>
          <w:tcPr>
            <w:tcW w:w="5936" w:type="dxa"/>
            <w:tcBorders>
              <w:bottom w:val="single" w:color="auto" w:sz="4" w:space="0"/>
            </w:tcBorders>
          </w:tcPr>
          <w:p>
            <w:pPr>
              <w:pStyle w:val="19"/>
              <w:spacing w:line="400" w:lineRule="exact"/>
              <w:ind w:left="118"/>
              <w:rPr>
                <w:rFonts w:ascii="楷体" w:hAnsi="楷体" w:eastAsia="楷体" w:cs="楷体"/>
                <w:sz w:val="30"/>
                <w:szCs w:val="30"/>
              </w:rPr>
            </w:pPr>
            <w:r>
              <w:rPr>
                <w:rFonts w:hint="eastAsia" w:ascii="楷体" w:hAnsi="楷体" w:eastAsia="楷体" w:cs="楷体"/>
                <w:spacing w:val="-5"/>
                <w:sz w:val="30"/>
                <w:szCs w:val="30"/>
              </w:rPr>
              <w:t>经财政监督、审计、纪检等部门和司法机关查处，</w:t>
            </w:r>
            <w:r>
              <w:rPr>
                <w:rFonts w:hint="eastAsia" w:ascii="楷体" w:hAnsi="楷体" w:eastAsia="楷体" w:cs="楷体"/>
                <w:spacing w:val="-9"/>
                <w:sz w:val="30"/>
                <w:szCs w:val="30"/>
              </w:rPr>
              <w:t>有重大违法违规行为并造成恶劣影响的，实行一票</w:t>
            </w:r>
            <w:r>
              <w:rPr>
                <w:rFonts w:hint="eastAsia" w:ascii="楷体" w:hAnsi="楷体" w:eastAsia="楷体" w:cs="楷体"/>
                <w:spacing w:val="-4"/>
                <w:sz w:val="30"/>
                <w:szCs w:val="30"/>
              </w:rPr>
              <w:t>否决</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0" w:hRule="atLeast"/>
        </w:trPr>
        <w:tc>
          <w:tcPr>
            <w:tcW w:w="3510" w:type="dxa"/>
            <w:tcBorders>
              <w:top w:val="single" w:color="auto" w:sz="4" w:space="0"/>
              <w:bottom w:val="single" w:color="auto" w:sz="4" w:space="0"/>
            </w:tcBorders>
          </w:tcPr>
          <w:p>
            <w:pPr>
              <w:pStyle w:val="19"/>
              <w:spacing w:line="400" w:lineRule="exact"/>
              <w:rPr>
                <w:rFonts w:ascii="楷体" w:hAnsi="楷体" w:eastAsia="楷体" w:cs="楷体"/>
                <w:sz w:val="30"/>
                <w:szCs w:val="30"/>
              </w:rPr>
            </w:pPr>
            <w:r>
              <w:rPr>
                <w:rFonts w:hint="eastAsia" w:ascii="楷体" w:hAnsi="楷体" w:eastAsia="楷体" w:cs="楷体"/>
                <w:sz w:val="30"/>
                <w:szCs w:val="30"/>
              </w:rPr>
              <w:t>考核结果得不到有效应用</w:t>
            </w:r>
          </w:p>
        </w:tc>
        <w:tc>
          <w:tcPr>
            <w:tcW w:w="5936" w:type="dxa"/>
            <w:tcBorders>
              <w:top w:val="single" w:color="auto" w:sz="4" w:space="0"/>
              <w:bottom w:val="single" w:color="auto" w:sz="4" w:space="0"/>
            </w:tcBorders>
          </w:tcPr>
          <w:p>
            <w:pPr>
              <w:pStyle w:val="19"/>
              <w:spacing w:line="400" w:lineRule="exact"/>
              <w:ind w:left="118"/>
              <w:rPr>
                <w:rFonts w:ascii="楷体" w:hAnsi="楷体" w:eastAsia="楷体" w:cs="楷体"/>
                <w:sz w:val="30"/>
                <w:szCs w:val="30"/>
              </w:rPr>
            </w:pPr>
            <w:r>
              <w:rPr>
                <w:rFonts w:hint="eastAsia" w:ascii="楷体" w:hAnsi="楷体" w:eastAsia="楷体" w:cs="楷体"/>
                <w:spacing w:val="-10"/>
                <w:sz w:val="30"/>
                <w:szCs w:val="30"/>
              </w:rPr>
              <w:t>通报年度绩效考核结果，把考核情况作为补贴资金</w:t>
            </w:r>
            <w:r>
              <w:rPr>
                <w:rFonts w:hint="eastAsia" w:ascii="楷体" w:hAnsi="楷体" w:eastAsia="楷体" w:cs="楷体"/>
                <w:sz w:val="30"/>
                <w:szCs w:val="30"/>
              </w:rPr>
              <w:t>和监督经费等分配下达的重要依据</w:t>
            </w:r>
          </w:p>
        </w:tc>
      </w:tr>
    </w:tbl>
    <w:p>
      <w:pPr>
        <w:spacing w:line="400" w:lineRule="exact"/>
        <w:rPr>
          <w:rFonts w:ascii="方正仿宋_GBK" w:hAnsi="方正仿宋_GBK" w:eastAsia="方正仿宋_GBK" w:cs="方正仿宋_GBK"/>
          <w:sz w:val="32"/>
          <w:szCs w:val="32"/>
        </w:rPr>
      </w:pPr>
    </w:p>
    <w:sectPr>
      <w:footerReference r:id="rId4" w:type="default"/>
      <w:pgSz w:w="11906" w:h="16838"/>
      <w:pgMar w:top="1701" w:right="1361" w:bottom="1417" w:left="1871" w:header="851" w:footer="1134" w:gutter="0"/>
      <w:pgNumType w:fmt="numberInDash" w:start="1"/>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楷体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仿宋">
    <w:altName w:val="微软雅黑"/>
    <w:panose1 w:val="02010609060101010101"/>
    <w:charset w:val="86"/>
    <w:family w:val="auto"/>
    <w:pitch w:val="default"/>
    <w:sig w:usb0="00000000" w:usb1="00000000" w:usb2="00000016" w:usb3="00000000" w:csb0="00040001" w:csb1="00000000"/>
  </w:font>
  <w:font w:name="方正黑体_GBK">
    <w:altName w:val="微软雅黑"/>
    <w:panose1 w:val="03000509000000000000"/>
    <w:charset w:val="86"/>
    <w:family w:val="script"/>
    <w:pitch w:val="default"/>
    <w:sig w:usb0="00000000" w:usb1="00000000" w:usb2="00000010" w:usb3="00000000" w:csb0="00040000" w:csb1="00000000"/>
  </w:font>
  <w:font w:name="楷体">
    <w:altName w:val="楷体_GB2312"/>
    <w:panose1 w:val="02010609060101010101"/>
    <w:charset w:val="86"/>
    <w:family w:val="auto"/>
    <w:pitch w:val="default"/>
    <w:sig w:usb0="00000000" w:usb1="00000000" w:usb2="00000016" w:usb3="00000000" w:csb0="00040001" w:csb1="00000000"/>
  </w:font>
  <w:font w:name="方正仿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4097" o:spid="_x0000_s4097"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path/>
          <v:fill on="f" focussize="0,0"/>
          <v:stroke on="f" weight="0.5pt" joinstyle="miter"/>
          <v:imagedata o:title=""/>
          <o:lock v:ext="edit"/>
          <v:textbox inset="0mm,0mm,0mm,0mm" style="mso-fit-shape-to-text:t;">
            <w:txbxContent>
              <w:p>
                <w:pPr>
                  <w:snapToGrid w:val="0"/>
                  <w:rPr>
                    <w:sz w:val="18"/>
                  </w:rPr>
                </w:pPr>
              </w:p>
            </w:txbxContent>
          </v:textbox>
        </v:shape>
      </w:pict>
    </w:r>
    <w:r>
      <w:pict>
        <v:shape id="_x0000_s4098" o:spid="_x0000_s4098"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path/>
          <v:fill on="f" focussize="0,0"/>
          <v:stroke on="f" weight="0.5pt" joinstyle="miter"/>
          <v:imagedata o:title=""/>
          <o:lock v:ext="edit"/>
          <v:textbox inset="0mm,0mm,0mm,0mm" style="mso-fit-shape-to-text:t;">
            <w:txbxContent>
              <w:p>
                <w:pPr>
                  <w:snapToGrid w:val="0"/>
                  <w:rPr>
                    <w:rFonts w:ascii="Times New Roman" w:hAnsi="Times New Roman"/>
                    <w:sz w:val="28"/>
                    <w:szCs w:val="28"/>
                  </w:rPr>
                </w:pP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4099" o:spid="_x0000_s4099"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zSVju0AAAAAUBAAAPAAAAAAAAAAEAIAAAACIAAABkcnMvZG93bnJldi54bWxQSwECFAAU&#10;AAAACACHTuJAJ0wnyN0CAAAkBgAADgAAAAAAAAABACAAAAAfAQAAZHJzL2Uyb0RvYy54bWxQSwUG&#10;AAAAAAYABgBZAQAAbgYAAAAA&#10;">
          <v:path/>
          <v:fill on="f" focussize="0,0"/>
          <v:stroke on="f" weight="0.5pt" joinstyle="miter"/>
          <v:imagedata o:title=""/>
          <o:lock v:ext="edit"/>
          <v:textbox inset="0mm,0mm,0mm,0mm" style="mso-fit-shape-to-text:t;">
            <w:txbxContent>
              <w:p>
                <w:pPr>
                  <w:pStyle w:val="3"/>
                </w:pPr>
                <w:r>
                  <w:fldChar w:fldCharType="begin"/>
                </w:r>
                <w:r>
                  <w:instrText xml:space="preserve"> PAGE  \* MERGEFORMAT </w:instrText>
                </w:r>
                <w:r>
                  <w:fldChar w:fldCharType="separate"/>
                </w:r>
                <w:r>
                  <w:t>- 19 -</w:t>
                </w:r>
                <w:r>
                  <w:fldChar w:fldCharType="end"/>
                </w:r>
              </w:p>
            </w:txbxContent>
          </v:textbox>
        </v:shape>
      </w:pict>
    </w:r>
    <w:r>
      <w:pict>
        <v:shape id="_x0000_s4100" o:spid="_x0000_s4100"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path/>
          <v:fill on="f" focussize="0,0"/>
          <v:stroke on="f" weight="0.5pt" joinstyle="miter"/>
          <v:imagedata o:title=""/>
          <o:lock v:ext="edit"/>
          <v:textbox inset="0mm,0mm,0mm,0mm" style="mso-fit-shape-to-text:t;">
            <w:txbxContent>
              <w:p>
                <w:pPr>
                  <w:snapToGrid w:val="0"/>
                  <w:rPr>
                    <w:sz w:val="18"/>
                  </w:rPr>
                </w:pPr>
              </w:p>
            </w:txbxContent>
          </v:textbox>
        </v:shape>
      </w:pict>
    </w:r>
    <w:r>
      <w:pict>
        <v:shape id="_x0000_s4101" o:spid="_x0000_s4101"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path/>
          <v:fill on="f" focussize="0,0"/>
          <v:stroke on="f" weight="0.5pt" joinstyle="miter"/>
          <v:imagedata o:title=""/>
          <o:lock v:ext="edit"/>
          <v:textbox inset="0mm,0mm,0mm,0mm" style="mso-fit-shape-to-text:t;">
            <w:txbxContent>
              <w:p>
                <w:pPr>
                  <w:snapToGrid w:val="0"/>
                  <w:rPr>
                    <w:rFonts w:ascii="Times New Roman" w:hAnsi="Times New Roman"/>
                    <w:sz w:val="28"/>
                    <w:szCs w:val="28"/>
                  </w:rPr>
                </w:pP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mirrorMargins w:val="1"/>
  <w:bordersDoNotSurroundHeader w:val="1"/>
  <w:bordersDoNotSurroundFooter w:val="1"/>
  <w:documentProtection w:enforcement="0"/>
  <w:defaultTabStop w:val="420"/>
  <w:drawingGridVerticalSpacing w:val="156"/>
  <w:noPunctuationKerning w:val="1"/>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doNotExpandShiftReturn/>
    <w:adjustLineHeightInTable/>
    <w:useFELayout/>
    <w:compatSetting w:name="compatibilityMode" w:uri="http://schemas.microsoft.com/office/word" w:val="12"/>
  </w:compat>
  <w:docVars>
    <w:docVar w:name="commondata" w:val="eyJoZGlkIjoiNThiNDdhMDg3MTUyNjdiNTM5YWRjYTdlZDY0NDNlYmEifQ=="/>
  </w:docVars>
  <w:rsids>
    <w:rsidRoot w:val="00835FBF"/>
    <w:rsid w:val="00241F86"/>
    <w:rsid w:val="00261140"/>
    <w:rsid w:val="002738A8"/>
    <w:rsid w:val="002B1C4E"/>
    <w:rsid w:val="00421E6E"/>
    <w:rsid w:val="00562DDA"/>
    <w:rsid w:val="006F509D"/>
    <w:rsid w:val="00726D4F"/>
    <w:rsid w:val="007846B8"/>
    <w:rsid w:val="007E29F7"/>
    <w:rsid w:val="00835FBF"/>
    <w:rsid w:val="008D6352"/>
    <w:rsid w:val="0091789E"/>
    <w:rsid w:val="00A556AB"/>
    <w:rsid w:val="00A81681"/>
    <w:rsid w:val="00AC1267"/>
    <w:rsid w:val="00AF305A"/>
    <w:rsid w:val="00B1108E"/>
    <w:rsid w:val="00C93954"/>
    <w:rsid w:val="00CC2DCB"/>
    <w:rsid w:val="00EC2003"/>
    <w:rsid w:val="00F01184"/>
    <w:rsid w:val="00F06584"/>
    <w:rsid w:val="00FA622B"/>
    <w:rsid w:val="01BE7C86"/>
    <w:rsid w:val="01D806B6"/>
    <w:rsid w:val="022D413B"/>
    <w:rsid w:val="02324CD7"/>
    <w:rsid w:val="02A13D1C"/>
    <w:rsid w:val="02E87B37"/>
    <w:rsid w:val="02EC09BE"/>
    <w:rsid w:val="02FB5348"/>
    <w:rsid w:val="03500D7A"/>
    <w:rsid w:val="036E0F59"/>
    <w:rsid w:val="04A4723A"/>
    <w:rsid w:val="05187ED4"/>
    <w:rsid w:val="05B1425D"/>
    <w:rsid w:val="05BA4665"/>
    <w:rsid w:val="06362744"/>
    <w:rsid w:val="06ED78A5"/>
    <w:rsid w:val="06FD778C"/>
    <w:rsid w:val="072E52B1"/>
    <w:rsid w:val="074D515A"/>
    <w:rsid w:val="0771371F"/>
    <w:rsid w:val="07776005"/>
    <w:rsid w:val="07BC50F7"/>
    <w:rsid w:val="085B25A6"/>
    <w:rsid w:val="08E172EC"/>
    <w:rsid w:val="096576B1"/>
    <w:rsid w:val="09F27F12"/>
    <w:rsid w:val="0A0E49AA"/>
    <w:rsid w:val="0A9F0D94"/>
    <w:rsid w:val="0ACB2C71"/>
    <w:rsid w:val="0B1E27A2"/>
    <w:rsid w:val="0C096839"/>
    <w:rsid w:val="0C337C6A"/>
    <w:rsid w:val="0C343EF4"/>
    <w:rsid w:val="0C7B0B22"/>
    <w:rsid w:val="0D017D71"/>
    <w:rsid w:val="0D0848F5"/>
    <w:rsid w:val="0D341374"/>
    <w:rsid w:val="0DCE13A4"/>
    <w:rsid w:val="0DD05FCD"/>
    <w:rsid w:val="0DD27689"/>
    <w:rsid w:val="0DDD7EDC"/>
    <w:rsid w:val="0DE67316"/>
    <w:rsid w:val="0DF3178E"/>
    <w:rsid w:val="0E374AF2"/>
    <w:rsid w:val="0E543C63"/>
    <w:rsid w:val="0E9138C9"/>
    <w:rsid w:val="0EE471ED"/>
    <w:rsid w:val="0F163AC4"/>
    <w:rsid w:val="0FBA2D2C"/>
    <w:rsid w:val="0FD42B29"/>
    <w:rsid w:val="105818A5"/>
    <w:rsid w:val="108527DC"/>
    <w:rsid w:val="108A6269"/>
    <w:rsid w:val="1148451B"/>
    <w:rsid w:val="123F5F28"/>
    <w:rsid w:val="126D22AD"/>
    <w:rsid w:val="126E0949"/>
    <w:rsid w:val="135E7549"/>
    <w:rsid w:val="139E2F19"/>
    <w:rsid w:val="13B41316"/>
    <w:rsid w:val="155072B4"/>
    <w:rsid w:val="15B0191E"/>
    <w:rsid w:val="15F17CF8"/>
    <w:rsid w:val="1643141E"/>
    <w:rsid w:val="17250614"/>
    <w:rsid w:val="174740A3"/>
    <w:rsid w:val="17A8640E"/>
    <w:rsid w:val="17A90E4B"/>
    <w:rsid w:val="18EA4D7C"/>
    <w:rsid w:val="191B5FDD"/>
    <w:rsid w:val="19AF592D"/>
    <w:rsid w:val="19BB35EC"/>
    <w:rsid w:val="1A0970FE"/>
    <w:rsid w:val="1A2737EF"/>
    <w:rsid w:val="1A410B4E"/>
    <w:rsid w:val="1B292E81"/>
    <w:rsid w:val="1B6F6C82"/>
    <w:rsid w:val="1C4329F2"/>
    <w:rsid w:val="1C79505C"/>
    <w:rsid w:val="1CA42FE2"/>
    <w:rsid w:val="1D5F09AD"/>
    <w:rsid w:val="1DBE5870"/>
    <w:rsid w:val="1DCF0CFC"/>
    <w:rsid w:val="1E773B38"/>
    <w:rsid w:val="1E9905DC"/>
    <w:rsid w:val="1EB12C98"/>
    <w:rsid w:val="1EF941E6"/>
    <w:rsid w:val="1F0A11D1"/>
    <w:rsid w:val="1F0E4DEE"/>
    <w:rsid w:val="1F391804"/>
    <w:rsid w:val="1F8D4102"/>
    <w:rsid w:val="1FA1743D"/>
    <w:rsid w:val="200064D2"/>
    <w:rsid w:val="200F59D3"/>
    <w:rsid w:val="204E2ED6"/>
    <w:rsid w:val="20770627"/>
    <w:rsid w:val="213C6E7B"/>
    <w:rsid w:val="21F815E4"/>
    <w:rsid w:val="221C2D63"/>
    <w:rsid w:val="223C45FB"/>
    <w:rsid w:val="22ED2CD1"/>
    <w:rsid w:val="22F75CDC"/>
    <w:rsid w:val="23087CB7"/>
    <w:rsid w:val="230C6A02"/>
    <w:rsid w:val="23552D7A"/>
    <w:rsid w:val="23D90B77"/>
    <w:rsid w:val="23FD0593"/>
    <w:rsid w:val="2456286E"/>
    <w:rsid w:val="257A2177"/>
    <w:rsid w:val="25D30D2E"/>
    <w:rsid w:val="262E1FD6"/>
    <w:rsid w:val="264756D3"/>
    <w:rsid w:val="26512B35"/>
    <w:rsid w:val="265A670A"/>
    <w:rsid w:val="269D0F46"/>
    <w:rsid w:val="27D34223"/>
    <w:rsid w:val="28050E4A"/>
    <w:rsid w:val="28C724A4"/>
    <w:rsid w:val="29423D98"/>
    <w:rsid w:val="29872B7B"/>
    <w:rsid w:val="29DA4EA3"/>
    <w:rsid w:val="29E93EDD"/>
    <w:rsid w:val="29FB36F7"/>
    <w:rsid w:val="2A407679"/>
    <w:rsid w:val="2A5E2265"/>
    <w:rsid w:val="2A8B5A33"/>
    <w:rsid w:val="2A9868A7"/>
    <w:rsid w:val="2AC86682"/>
    <w:rsid w:val="2ACC3D12"/>
    <w:rsid w:val="2B3C4846"/>
    <w:rsid w:val="2BA009CC"/>
    <w:rsid w:val="2BF523C4"/>
    <w:rsid w:val="2C503DCF"/>
    <w:rsid w:val="2CB346C7"/>
    <w:rsid w:val="2D957317"/>
    <w:rsid w:val="2E921703"/>
    <w:rsid w:val="2F07164C"/>
    <w:rsid w:val="2F2D6153"/>
    <w:rsid w:val="2F7050FE"/>
    <w:rsid w:val="301B096F"/>
    <w:rsid w:val="30383907"/>
    <w:rsid w:val="30F55803"/>
    <w:rsid w:val="316C457D"/>
    <w:rsid w:val="3171412C"/>
    <w:rsid w:val="3197372C"/>
    <w:rsid w:val="31F45CC0"/>
    <w:rsid w:val="32403776"/>
    <w:rsid w:val="325C2EFF"/>
    <w:rsid w:val="326F5329"/>
    <w:rsid w:val="329B55A3"/>
    <w:rsid w:val="329D2671"/>
    <w:rsid w:val="33327BD6"/>
    <w:rsid w:val="33B85C06"/>
    <w:rsid w:val="33CD7502"/>
    <w:rsid w:val="3418711C"/>
    <w:rsid w:val="344D0C18"/>
    <w:rsid w:val="347E2ABF"/>
    <w:rsid w:val="34AC766D"/>
    <w:rsid w:val="35645CF1"/>
    <w:rsid w:val="35792FDD"/>
    <w:rsid w:val="35800D5C"/>
    <w:rsid w:val="35A840B7"/>
    <w:rsid w:val="3643418B"/>
    <w:rsid w:val="36504539"/>
    <w:rsid w:val="36E823B5"/>
    <w:rsid w:val="36FB3DCE"/>
    <w:rsid w:val="37132C5E"/>
    <w:rsid w:val="37182CF6"/>
    <w:rsid w:val="371B281E"/>
    <w:rsid w:val="37AE5BBC"/>
    <w:rsid w:val="37F459EF"/>
    <w:rsid w:val="384A3AEB"/>
    <w:rsid w:val="38FC66B1"/>
    <w:rsid w:val="399A088A"/>
    <w:rsid w:val="3A1311BA"/>
    <w:rsid w:val="3A2E5841"/>
    <w:rsid w:val="3A35278A"/>
    <w:rsid w:val="3A8972CD"/>
    <w:rsid w:val="3ADD7A94"/>
    <w:rsid w:val="3B180B6E"/>
    <w:rsid w:val="3B277AEE"/>
    <w:rsid w:val="3B2D5650"/>
    <w:rsid w:val="3B82480A"/>
    <w:rsid w:val="3B827FBC"/>
    <w:rsid w:val="3C144DED"/>
    <w:rsid w:val="3C532C97"/>
    <w:rsid w:val="3C7E3351"/>
    <w:rsid w:val="3CB527AD"/>
    <w:rsid w:val="3CCC71B5"/>
    <w:rsid w:val="3D3D798F"/>
    <w:rsid w:val="3D6C315A"/>
    <w:rsid w:val="3DE02498"/>
    <w:rsid w:val="3E5753E1"/>
    <w:rsid w:val="3E630DDC"/>
    <w:rsid w:val="3EBD1D15"/>
    <w:rsid w:val="3EC71595"/>
    <w:rsid w:val="3F732F65"/>
    <w:rsid w:val="3FCD1CF0"/>
    <w:rsid w:val="40166115"/>
    <w:rsid w:val="40932699"/>
    <w:rsid w:val="40A06D8C"/>
    <w:rsid w:val="40A9618D"/>
    <w:rsid w:val="40D97758"/>
    <w:rsid w:val="40F56835"/>
    <w:rsid w:val="41C2019D"/>
    <w:rsid w:val="41E506E0"/>
    <w:rsid w:val="421E42CE"/>
    <w:rsid w:val="422B40EC"/>
    <w:rsid w:val="42482C7E"/>
    <w:rsid w:val="426B5E18"/>
    <w:rsid w:val="427C0230"/>
    <w:rsid w:val="42B11E24"/>
    <w:rsid w:val="42B91CB9"/>
    <w:rsid w:val="4359419A"/>
    <w:rsid w:val="438714DC"/>
    <w:rsid w:val="43C461BF"/>
    <w:rsid w:val="43F65E22"/>
    <w:rsid w:val="444B0538"/>
    <w:rsid w:val="44702B14"/>
    <w:rsid w:val="44F62510"/>
    <w:rsid w:val="45A225C0"/>
    <w:rsid w:val="45B54925"/>
    <w:rsid w:val="45DC5707"/>
    <w:rsid w:val="45F03B76"/>
    <w:rsid w:val="45F0583C"/>
    <w:rsid w:val="46310476"/>
    <w:rsid w:val="46A335D3"/>
    <w:rsid w:val="46EC35E8"/>
    <w:rsid w:val="46EE0815"/>
    <w:rsid w:val="47256B82"/>
    <w:rsid w:val="474254F8"/>
    <w:rsid w:val="47606485"/>
    <w:rsid w:val="47CD0F1F"/>
    <w:rsid w:val="47D55AE9"/>
    <w:rsid w:val="47ED2790"/>
    <w:rsid w:val="47FD76FA"/>
    <w:rsid w:val="483079E2"/>
    <w:rsid w:val="48E3355A"/>
    <w:rsid w:val="49A24A00"/>
    <w:rsid w:val="49DE6D25"/>
    <w:rsid w:val="4A044193"/>
    <w:rsid w:val="4A1B11D6"/>
    <w:rsid w:val="4A481F98"/>
    <w:rsid w:val="4A980511"/>
    <w:rsid w:val="4AD92298"/>
    <w:rsid w:val="4B194EEB"/>
    <w:rsid w:val="4B6365DD"/>
    <w:rsid w:val="4BE4107E"/>
    <w:rsid w:val="4BEE6402"/>
    <w:rsid w:val="4C4478FE"/>
    <w:rsid w:val="4C4C7FEE"/>
    <w:rsid w:val="4C590CC1"/>
    <w:rsid w:val="4C5C15F4"/>
    <w:rsid w:val="4C5F4C31"/>
    <w:rsid w:val="4C84051A"/>
    <w:rsid w:val="4CF16983"/>
    <w:rsid w:val="4D412FF3"/>
    <w:rsid w:val="4D5C6C68"/>
    <w:rsid w:val="4DB962A4"/>
    <w:rsid w:val="4DC93457"/>
    <w:rsid w:val="4DD95D88"/>
    <w:rsid w:val="4DEA0A6F"/>
    <w:rsid w:val="4E144379"/>
    <w:rsid w:val="4E2C5B12"/>
    <w:rsid w:val="4E9909D1"/>
    <w:rsid w:val="4FF40773"/>
    <w:rsid w:val="504F339D"/>
    <w:rsid w:val="50F76D84"/>
    <w:rsid w:val="5108582B"/>
    <w:rsid w:val="51621E23"/>
    <w:rsid w:val="51CF06B6"/>
    <w:rsid w:val="528A28FD"/>
    <w:rsid w:val="52B31140"/>
    <w:rsid w:val="52FA4FF5"/>
    <w:rsid w:val="535A0232"/>
    <w:rsid w:val="538B2211"/>
    <w:rsid w:val="53FF4CAE"/>
    <w:rsid w:val="541B2673"/>
    <w:rsid w:val="541E3B4C"/>
    <w:rsid w:val="544368F6"/>
    <w:rsid w:val="54556984"/>
    <w:rsid w:val="54953084"/>
    <w:rsid w:val="55095286"/>
    <w:rsid w:val="55221455"/>
    <w:rsid w:val="55AA0A11"/>
    <w:rsid w:val="55D73004"/>
    <w:rsid w:val="56AC74D9"/>
    <w:rsid w:val="56C62F68"/>
    <w:rsid w:val="576D0F64"/>
    <w:rsid w:val="5773437C"/>
    <w:rsid w:val="577F1E1E"/>
    <w:rsid w:val="58023580"/>
    <w:rsid w:val="58AE6BC0"/>
    <w:rsid w:val="5908038D"/>
    <w:rsid w:val="59225D87"/>
    <w:rsid w:val="594735D8"/>
    <w:rsid w:val="5A845DF6"/>
    <w:rsid w:val="5B1B11E1"/>
    <w:rsid w:val="5B5A20CC"/>
    <w:rsid w:val="5B623532"/>
    <w:rsid w:val="5B683038"/>
    <w:rsid w:val="5B82459C"/>
    <w:rsid w:val="5BD252D3"/>
    <w:rsid w:val="5BDD6597"/>
    <w:rsid w:val="5C0A0587"/>
    <w:rsid w:val="5C8A64E9"/>
    <w:rsid w:val="5CA875E8"/>
    <w:rsid w:val="5CAE471C"/>
    <w:rsid w:val="5D09242C"/>
    <w:rsid w:val="5D301931"/>
    <w:rsid w:val="5D324E8B"/>
    <w:rsid w:val="5DC2750F"/>
    <w:rsid w:val="5E091A80"/>
    <w:rsid w:val="5E1217CD"/>
    <w:rsid w:val="5E3E46B7"/>
    <w:rsid w:val="5F2D4AC3"/>
    <w:rsid w:val="5F340905"/>
    <w:rsid w:val="5F4129BD"/>
    <w:rsid w:val="5F876E6D"/>
    <w:rsid w:val="5F8D1A29"/>
    <w:rsid w:val="5FF95F87"/>
    <w:rsid w:val="606570A6"/>
    <w:rsid w:val="60CE75DB"/>
    <w:rsid w:val="60D562D1"/>
    <w:rsid w:val="60D66EC7"/>
    <w:rsid w:val="60E02590"/>
    <w:rsid w:val="61607295"/>
    <w:rsid w:val="6172297B"/>
    <w:rsid w:val="618E245C"/>
    <w:rsid w:val="61B07213"/>
    <w:rsid w:val="61C66136"/>
    <w:rsid w:val="61CA3C96"/>
    <w:rsid w:val="62DF3D99"/>
    <w:rsid w:val="63814C8F"/>
    <w:rsid w:val="63E86CC3"/>
    <w:rsid w:val="63FD0820"/>
    <w:rsid w:val="640A24C1"/>
    <w:rsid w:val="64995B1D"/>
    <w:rsid w:val="64A50B72"/>
    <w:rsid w:val="64BB2AB0"/>
    <w:rsid w:val="64C15F62"/>
    <w:rsid w:val="64ED33FD"/>
    <w:rsid w:val="65114FA7"/>
    <w:rsid w:val="654C2D8F"/>
    <w:rsid w:val="65900B9D"/>
    <w:rsid w:val="65D24A24"/>
    <w:rsid w:val="66692AB8"/>
    <w:rsid w:val="66A527A6"/>
    <w:rsid w:val="67404B90"/>
    <w:rsid w:val="680204DA"/>
    <w:rsid w:val="685A778E"/>
    <w:rsid w:val="69056C7A"/>
    <w:rsid w:val="69090243"/>
    <w:rsid w:val="6988373E"/>
    <w:rsid w:val="698D5ADB"/>
    <w:rsid w:val="6A1D2B70"/>
    <w:rsid w:val="6AC53D47"/>
    <w:rsid w:val="6AFD5DC4"/>
    <w:rsid w:val="6B504A88"/>
    <w:rsid w:val="6B5746FB"/>
    <w:rsid w:val="6BA400DE"/>
    <w:rsid w:val="6C4A2309"/>
    <w:rsid w:val="6CC453A5"/>
    <w:rsid w:val="6CCA45FB"/>
    <w:rsid w:val="6D2014D1"/>
    <w:rsid w:val="6D242C26"/>
    <w:rsid w:val="6D4D2D4B"/>
    <w:rsid w:val="6D4D2E4D"/>
    <w:rsid w:val="6D51251C"/>
    <w:rsid w:val="6DD34004"/>
    <w:rsid w:val="6E037573"/>
    <w:rsid w:val="6E1230B6"/>
    <w:rsid w:val="6EA407B4"/>
    <w:rsid w:val="700605F5"/>
    <w:rsid w:val="70AE2F9A"/>
    <w:rsid w:val="70C80A6C"/>
    <w:rsid w:val="71974783"/>
    <w:rsid w:val="719E0EAA"/>
    <w:rsid w:val="71C51F9E"/>
    <w:rsid w:val="723A32DA"/>
    <w:rsid w:val="72975C83"/>
    <w:rsid w:val="72C66F19"/>
    <w:rsid w:val="72CD58EA"/>
    <w:rsid w:val="731E1827"/>
    <w:rsid w:val="733424E7"/>
    <w:rsid w:val="73564DE9"/>
    <w:rsid w:val="74F90D62"/>
    <w:rsid w:val="7554170A"/>
    <w:rsid w:val="75B44150"/>
    <w:rsid w:val="75B63A80"/>
    <w:rsid w:val="76060C29"/>
    <w:rsid w:val="762B086A"/>
    <w:rsid w:val="765467A0"/>
    <w:rsid w:val="76F374E5"/>
    <w:rsid w:val="771D389E"/>
    <w:rsid w:val="7744651E"/>
    <w:rsid w:val="775F06BC"/>
    <w:rsid w:val="78265FE8"/>
    <w:rsid w:val="78CB68C9"/>
    <w:rsid w:val="78F811FE"/>
    <w:rsid w:val="790C22E1"/>
    <w:rsid w:val="794446ED"/>
    <w:rsid w:val="797660C4"/>
    <w:rsid w:val="7A101A15"/>
    <w:rsid w:val="7A266B6E"/>
    <w:rsid w:val="7A4810AA"/>
    <w:rsid w:val="7A5570F5"/>
    <w:rsid w:val="7A714F65"/>
    <w:rsid w:val="7A72047A"/>
    <w:rsid w:val="7A7B0B3A"/>
    <w:rsid w:val="7AE25231"/>
    <w:rsid w:val="7B883649"/>
    <w:rsid w:val="7B8F1D70"/>
    <w:rsid w:val="7C021AE1"/>
    <w:rsid w:val="7C0D271B"/>
    <w:rsid w:val="7C5D0453"/>
    <w:rsid w:val="7CAB50AE"/>
    <w:rsid w:val="7D3B4598"/>
    <w:rsid w:val="7D75260C"/>
    <w:rsid w:val="7D955719"/>
    <w:rsid w:val="7DE90FF2"/>
    <w:rsid w:val="7E04698A"/>
    <w:rsid w:val="7E1D4D6B"/>
    <w:rsid w:val="7E876E40"/>
    <w:rsid w:val="7E9D1532"/>
    <w:rsid w:val="7F591241"/>
    <w:rsid w:val="7F761FE2"/>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99" w:semiHidden="0" w:name="Strong"/>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11"/>
    <w:uiPriority w:val="99"/>
    <w:rPr>
      <w:sz w:val="32"/>
    </w:rPr>
  </w:style>
  <w:style w:type="paragraph" w:styleId="3">
    <w:name w:val="footer"/>
    <w:basedOn w:val="1"/>
    <w:link w:val="12"/>
    <w:uiPriority w:val="99"/>
    <w:pPr>
      <w:tabs>
        <w:tab w:val="center" w:pos="4153"/>
        <w:tab w:val="right" w:pos="8306"/>
      </w:tabs>
      <w:snapToGrid w:val="0"/>
      <w:jc w:val="left"/>
    </w:pPr>
    <w:rPr>
      <w:sz w:val="18"/>
      <w:szCs w:val="18"/>
    </w:rPr>
  </w:style>
  <w:style w:type="paragraph" w:styleId="4">
    <w:name w:val="header"/>
    <w:basedOn w:val="1"/>
    <w:link w:val="13"/>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99"/>
    <w:pPr>
      <w:widowControl/>
      <w:spacing w:before="100" w:beforeAutospacing="1" w:after="100" w:afterAutospacing="1"/>
      <w:jc w:val="left"/>
    </w:pPr>
    <w:rPr>
      <w:rFonts w:ascii="宋体" w:hAnsi="宋体" w:cs="宋体"/>
      <w:kern w:val="0"/>
      <w:sz w:val="24"/>
    </w:rPr>
  </w:style>
  <w:style w:type="table" w:styleId="7">
    <w:name w:val="Table Grid"/>
    <w:basedOn w:val="6"/>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9">
    <w:name w:val="Strong"/>
    <w:basedOn w:val="10"/>
    <w:qFormat/>
    <w:uiPriority w:val="99"/>
    <w:rPr>
      <w:rFonts w:cs="Times New Roman"/>
      <w:b/>
    </w:rPr>
  </w:style>
  <w:style w:type="character" w:customStyle="1" w:styleId="10">
    <w:name w:val="UserStyle_1"/>
    <w:uiPriority w:val="99"/>
  </w:style>
  <w:style w:type="character" w:customStyle="1" w:styleId="11">
    <w:name w:val="正文文本 Char"/>
    <w:basedOn w:val="8"/>
    <w:link w:val="2"/>
    <w:semiHidden/>
    <w:uiPriority w:val="99"/>
    <w:rPr>
      <w:rFonts w:ascii="Calibri" w:hAnsi="Calibri"/>
    </w:rPr>
  </w:style>
  <w:style w:type="character" w:customStyle="1" w:styleId="12">
    <w:name w:val="页脚 Char"/>
    <w:basedOn w:val="8"/>
    <w:link w:val="3"/>
    <w:locked/>
    <w:uiPriority w:val="99"/>
    <w:rPr>
      <w:rFonts w:cs="Times New Roman"/>
      <w:kern w:val="2"/>
      <w:sz w:val="18"/>
      <w:szCs w:val="18"/>
    </w:rPr>
  </w:style>
  <w:style w:type="character" w:customStyle="1" w:styleId="13">
    <w:name w:val="页眉 Char"/>
    <w:basedOn w:val="8"/>
    <w:link w:val="4"/>
    <w:semiHidden/>
    <w:locked/>
    <w:uiPriority w:val="99"/>
    <w:rPr>
      <w:rFonts w:cs="Times New Roman"/>
      <w:kern w:val="2"/>
      <w:sz w:val="18"/>
      <w:szCs w:val="18"/>
    </w:rPr>
  </w:style>
  <w:style w:type="character" w:customStyle="1" w:styleId="14">
    <w:name w:val="NormalCharacter"/>
    <w:semiHidden/>
    <w:uiPriority w:val="99"/>
    <w:rPr>
      <w:rFonts w:ascii="Times New Roman" w:hAnsi="Times New Roman" w:eastAsia="宋体"/>
      <w:kern w:val="2"/>
      <w:sz w:val="21"/>
      <w:lang w:val="en-US" w:eastAsia="zh-CN"/>
    </w:rPr>
  </w:style>
  <w:style w:type="paragraph" w:customStyle="1" w:styleId="15">
    <w:name w:val="属名"/>
    <w:basedOn w:val="1"/>
    <w:qFormat/>
    <w:uiPriority w:val="99"/>
    <w:pPr>
      <w:spacing w:line="760" w:lineRule="exact"/>
      <w:jc w:val="center"/>
    </w:pPr>
    <w:rPr>
      <w:rFonts w:ascii="楷体_GB2312" w:eastAsia="楷体_GB2312"/>
    </w:rPr>
  </w:style>
  <w:style w:type="paragraph" w:customStyle="1" w:styleId="16">
    <w:name w:val="题目"/>
    <w:basedOn w:val="1"/>
    <w:qFormat/>
    <w:uiPriority w:val="99"/>
    <w:pPr>
      <w:spacing w:line="760" w:lineRule="exact"/>
      <w:jc w:val="center"/>
    </w:pPr>
    <w:rPr>
      <w:rFonts w:ascii="方正小标宋简体" w:eastAsia="方正小标宋简体"/>
      <w:sz w:val="44"/>
      <w:szCs w:val="44"/>
    </w:rPr>
  </w:style>
  <w:style w:type="paragraph" w:customStyle="1" w:styleId="17">
    <w:name w:val="UserStyle_4"/>
    <w:basedOn w:val="1"/>
    <w:qFormat/>
    <w:uiPriority w:val="99"/>
    <w:pPr>
      <w:widowControl/>
      <w:spacing w:before="100" w:beforeAutospacing="1" w:after="100" w:afterAutospacing="1"/>
      <w:jc w:val="left"/>
    </w:pPr>
    <w:rPr>
      <w:kern w:val="0"/>
      <w:sz w:val="24"/>
      <w:szCs w:val="24"/>
    </w:rPr>
  </w:style>
  <w:style w:type="paragraph" w:styleId="18">
    <w:name w:val="List Paragraph"/>
    <w:basedOn w:val="1"/>
    <w:qFormat/>
    <w:uiPriority w:val="99"/>
    <w:pPr>
      <w:ind w:firstLine="420" w:firstLineChars="200"/>
    </w:pPr>
  </w:style>
  <w:style w:type="paragraph" w:customStyle="1" w:styleId="19">
    <w:name w:val="Table Paragraph"/>
    <w:basedOn w:val="1"/>
    <w:qFormat/>
    <w:uiPriority w:val="99"/>
    <w:pPr>
      <w:autoSpaceDE w:val="0"/>
      <w:autoSpaceDN w:val="0"/>
      <w:jc w:val="left"/>
    </w:pPr>
    <w:rPr>
      <w:rFonts w:ascii="宋体" w:hAnsi="宋体" w:cs="宋体"/>
      <w:kern w:val="0"/>
      <w:sz w:val="22"/>
      <w:lang w:val="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4097"/>
    <customShpInfo spid="_x0000_s4098"/>
    <customShpInfo spid="_x0000_s4099"/>
    <customShpInfo spid="_x0000_s4100"/>
    <customShpInfo spid="_x0000_s410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22</Pages>
  <Words>9063</Words>
  <Characters>9170</Characters>
  <Lines>67</Lines>
  <Paragraphs>19</Paragraphs>
  <TotalTime>8</TotalTime>
  <ScaleCrop>false</ScaleCrop>
  <LinksUpToDate>false</LinksUpToDate>
  <CharactersWithSpaces>9252</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2021-09-13T07:59:00Z</dcterms:created>
  <dc:creator>jynw</dc:creator>
  <cp:lastModifiedBy>Owner</cp:lastModifiedBy>
  <cp:lastPrinted>2020-09-07T06:51:00Z</cp:lastPrinted>
  <dcterms:modified xsi:type="dcterms:W3CDTF">2022-06-22T01:14:30Z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y fmtid="{D5CDD505-2E9C-101B-9397-08002B2CF9AE}" pid="3" name="ICV">
    <vt:lpwstr>90C10BB4FF9B405A8FE73D6B070644EC</vt:lpwstr>
  </property>
</Properties>
</file>