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29E014">
      <w:pPr>
        <w:spacing w:before="20" w:line="225" w:lineRule="auto"/>
        <w:jc w:val="center"/>
        <w:rPr>
          <w:rFonts w:hint="default" w:ascii="方正小标宋_GBK" w:hAnsi="方正小标宋_GBK" w:eastAsia="方正小标宋_GBK" w:cs="方正小标宋_GBK"/>
          <w:b w:val="0"/>
          <w:bCs/>
          <w:sz w:val="44"/>
          <w:szCs w:val="44"/>
          <w:lang w:val="en-US" w:eastAsia="zh-CN"/>
        </w:rPr>
      </w:pPr>
      <w:bookmarkStart w:id="0" w:name="_GoBack"/>
      <w:bookmarkEnd w:id="0"/>
      <w:r>
        <w:rPr>
          <w:rFonts w:hint="eastAsia" w:ascii="方正小标宋_GBK" w:hAnsi="方正小标宋_GBK" w:eastAsia="方正小标宋_GBK" w:cs="方正小标宋_GBK"/>
          <w:b w:val="0"/>
          <w:bCs/>
          <w:color w:val="000000"/>
          <w:sz w:val="44"/>
          <w:szCs w:val="44"/>
        </w:rPr>
        <w:t>六合区农机</w:t>
      </w:r>
      <w:r>
        <w:rPr>
          <w:rFonts w:hint="eastAsia" w:ascii="方正小标宋_GBK" w:hAnsi="方正小标宋_GBK" w:eastAsia="方正小标宋_GBK" w:cs="方正小标宋_GBK"/>
          <w:b w:val="0"/>
          <w:bCs/>
          <w:color w:val="000000"/>
          <w:sz w:val="44"/>
          <w:szCs w:val="44"/>
          <w:lang w:val="en-US" w:eastAsia="zh-CN"/>
        </w:rPr>
        <w:t>报废更新机具风险防控办法</w:t>
      </w:r>
    </w:p>
    <w:p w14:paraId="689683B3">
      <w:pPr>
        <w:keepNext w:val="0"/>
        <w:keepLines w:val="0"/>
        <w:pageBreakBefore w:val="0"/>
        <w:widowControl w:val="0"/>
        <w:kinsoku/>
        <w:wordWrap/>
        <w:overflowPunct/>
        <w:topLinePunct w:val="0"/>
        <w:autoSpaceDE/>
        <w:autoSpaceDN/>
        <w:bidi w:val="0"/>
        <w:adjustRightInd/>
        <w:snapToGrid/>
        <w:spacing w:line="560" w:lineRule="exact"/>
        <w:ind w:firstLine="0"/>
        <w:jc w:val="both"/>
        <w:textAlignment w:val="auto"/>
        <w:rPr>
          <w:rFonts w:hint="eastAsia" w:ascii="仿宋_GB2312" w:hAnsi="仿宋_GB2312" w:eastAsia="仿宋_GB2312" w:cs="仿宋_GB2312"/>
          <w:color w:val="000000"/>
          <w:sz w:val="32"/>
          <w:szCs w:val="32"/>
        </w:rPr>
      </w:pPr>
    </w:p>
    <w:p w14:paraId="39761C47">
      <w:pPr>
        <w:keepNext w:val="0"/>
        <w:keepLines w:val="0"/>
        <w:pageBreakBefore w:val="0"/>
        <w:widowControl w:val="0"/>
        <w:kinsoku/>
        <w:wordWrap/>
        <w:overflowPunct/>
        <w:topLinePunct w:val="0"/>
        <w:autoSpaceDE/>
        <w:autoSpaceDN/>
        <w:bidi w:val="0"/>
        <w:adjustRightInd/>
        <w:snapToGrid/>
        <w:spacing w:before="9" w:line="560" w:lineRule="exact"/>
        <w:ind w:firstLine="720"/>
        <w:jc w:val="both"/>
        <w:textAlignment w:val="auto"/>
        <w:rPr>
          <w:rFonts w:hint="eastAsia" w:ascii="黑体" w:hAnsi="黑体" w:eastAsia="黑体" w:cs="黑体"/>
          <w:b w:val="0"/>
          <w:bCs/>
          <w:sz w:val="32"/>
          <w:szCs w:val="32"/>
          <w:lang w:val="en-US" w:eastAsia="zh-CN"/>
        </w:rPr>
      </w:pPr>
      <w:r>
        <w:rPr>
          <w:rFonts w:hint="eastAsia" w:ascii="黑体" w:hAnsi="黑体" w:eastAsia="黑体" w:cs="黑体"/>
          <w:b w:val="0"/>
          <w:bCs/>
          <w:color w:val="000000"/>
          <w:sz w:val="32"/>
          <w:szCs w:val="32"/>
          <w:lang w:val="en-US" w:eastAsia="zh-CN"/>
        </w:rPr>
        <w:t>一、报废农机风险防控措施</w:t>
      </w:r>
    </w:p>
    <w:p w14:paraId="2CF393B3">
      <w:pPr>
        <w:keepNext w:val="0"/>
        <w:keepLines w:val="0"/>
        <w:pageBreakBefore w:val="0"/>
        <w:widowControl w:val="0"/>
        <w:kinsoku/>
        <w:wordWrap/>
        <w:overflowPunct/>
        <w:topLinePunct w:val="0"/>
        <w:autoSpaceDE/>
        <w:autoSpaceDN/>
        <w:bidi w:val="0"/>
        <w:adjustRightInd/>
        <w:snapToGrid/>
        <w:spacing w:line="560" w:lineRule="exact"/>
        <w:ind w:left="40" w:right="120" w:firstLine="62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eastAsia="zh-CN"/>
        </w:rPr>
        <w:t>农机报废更新风险防控主要是对无牌证和未纳入牌证管理的农机制定的风险防控办法。</w:t>
      </w:r>
      <w:r>
        <w:rPr>
          <w:rFonts w:hint="eastAsia" w:ascii="仿宋_GB2312" w:hAnsi="仿宋_GB2312" w:eastAsia="仿宋_GB2312" w:cs="仿宋_GB2312"/>
          <w:color w:val="000000"/>
          <w:sz w:val="32"/>
          <w:szCs w:val="32"/>
        </w:rPr>
        <w:t>对工作方案中未明确的事宜，由六合区农业农村局进行解释和说明。</w:t>
      </w:r>
    </w:p>
    <w:p w14:paraId="73EB49DA">
      <w:pPr>
        <w:keepNext w:val="0"/>
        <w:keepLines w:val="0"/>
        <w:pageBreakBefore w:val="0"/>
        <w:widowControl w:val="0"/>
        <w:kinsoku/>
        <w:wordWrap/>
        <w:overflowPunct/>
        <w:topLinePunct w:val="0"/>
        <w:autoSpaceDE/>
        <w:autoSpaceDN/>
        <w:bidi w:val="0"/>
        <w:adjustRightInd/>
        <w:snapToGrid/>
        <w:spacing w:line="560" w:lineRule="exact"/>
        <w:ind w:left="20" w:right="60" w:firstLine="6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风险防控办法</w:t>
      </w:r>
      <w:r>
        <w:rPr>
          <w:rFonts w:hint="eastAsia" w:ascii="仿宋_GB2312" w:hAnsi="仿宋_GB2312" w:eastAsia="仿宋_GB2312" w:cs="仿宋_GB2312"/>
          <w:color w:val="000000"/>
          <w:sz w:val="32"/>
          <w:szCs w:val="32"/>
        </w:rPr>
        <w:t>立足</w:t>
      </w:r>
      <w:r>
        <w:rPr>
          <w:rFonts w:hint="eastAsia" w:ascii="仿宋_GB2312" w:hAnsi="仿宋_GB2312" w:eastAsia="仿宋_GB2312" w:cs="仿宋_GB2312"/>
          <w:color w:val="000000"/>
          <w:sz w:val="32"/>
          <w:szCs w:val="32"/>
          <w:lang w:val="en-US" w:eastAsia="zh-CN"/>
        </w:rPr>
        <w:t>六合区农机报废更新</w:t>
      </w:r>
      <w:r>
        <w:rPr>
          <w:rFonts w:hint="eastAsia" w:ascii="仿宋_GB2312" w:hAnsi="仿宋_GB2312" w:eastAsia="仿宋_GB2312" w:cs="仿宋_GB2312"/>
          <w:color w:val="000000"/>
          <w:sz w:val="32"/>
          <w:szCs w:val="32"/>
        </w:rPr>
        <w:t>实施办法为基础，对</w:t>
      </w:r>
      <w:r>
        <w:rPr>
          <w:rFonts w:hint="eastAsia" w:ascii="仿宋_GB2312" w:hAnsi="仿宋_GB2312" w:eastAsia="仿宋_GB2312" w:cs="仿宋_GB2312"/>
          <w:color w:val="000000"/>
          <w:sz w:val="32"/>
          <w:szCs w:val="32"/>
          <w:lang w:val="en-US" w:eastAsia="zh-CN"/>
        </w:rPr>
        <w:t>无牌证和未纳入牌证管理的农机进行有效监督管理，</w:t>
      </w:r>
      <w:r>
        <w:rPr>
          <w:rFonts w:hint="eastAsia" w:ascii="仿宋_GB2312" w:hAnsi="仿宋_GB2312" w:eastAsia="仿宋_GB2312" w:cs="仿宋_GB2312"/>
          <w:color w:val="000000"/>
          <w:sz w:val="32"/>
          <w:szCs w:val="32"/>
        </w:rPr>
        <w:t>并就具体事项进行合规性审查，确保政策实施依法依规。</w:t>
      </w:r>
    </w:p>
    <w:p w14:paraId="5D6DE9D2">
      <w:pPr>
        <w:keepNext w:val="0"/>
        <w:keepLines w:val="0"/>
        <w:pageBreakBefore w:val="0"/>
        <w:widowControl w:val="0"/>
        <w:kinsoku/>
        <w:wordWrap/>
        <w:overflowPunct/>
        <w:topLinePunct w:val="0"/>
        <w:autoSpaceDE/>
        <w:autoSpaceDN/>
        <w:bidi w:val="0"/>
        <w:adjustRightInd/>
        <w:snapToGrid/>
        <w:spacing w:line="560" w:lineRule="exact"/>
        <w:ind w:left="20" w:right="400" w:firstLine="66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color w:val="000000"/>
          <w:sz w:val="32"/>
          <w:szCs w:val="32"/>
          <w:lang w:val="en-US" w:eastAsia="zh-CN"/>
        </w:rPr>
        <w:t>街镇</w:t>
      </w:r>
      <w:r>
        <w:rPr>
          <w:rFonts w:hint="eastAsia" w:ascii="仿宋_GB2312" w:hAnsi="仿宋_GB2312" w:eastAsia="仿宋_GB2312" w:cs="仿宋_GB2312"/>
          <w:color w:val="000000"/>
          <w:sz w:val="32"/>
          <w:szCs w:val="32"/>
        </w:rPr>
        <w:t>部门</w:t>
      </w:r>
      <w:r>
        <w:rPr>
          <w:rFonts w:hint="eastAsia" w:ascii="仿宋_GB2312" w:hAnsi="仿宋_GB2312" w:eastAsia="仿宋_GB2312" w:cs="仿宋_GB2312"/>
          <w:color w:val="000000"/>
          <w:sz w:val="32"/>
          <w:szCs w:val="32"/>
          <w:lang w:val="en-US" w:eastAsia="zh-CN"/>
        </w:rPr>
        <w:t>初步审核</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街镇农业农村部门具体负责人员对此类农机具来源进行审核，要求申报人员提供机具来源归属承诺书并对机具进行现场确认，对于单人多台套机具必要时可要求相关村社区提供机具来源证明盖章件。</w:t>
      </w:r>
    </w:p>
    <w:p w14:paraId="46676B77">
      <w:pPr>
        <w:keepNext w:val="0"/>
        <w:keepLines w:val="0"/>
        <w:pageBreakBefore w:val="0"/>
        <w:widowControl w:val="0"/>
        <w:kinsoku/>
        <w:wordWrap/>
        <w:overflowPunct/>
        <w:topLinePunct w:val="0"/>
        <w:autoSpaceDE/>
        <w:autoSpaceDN/>
        <w:bidi w:val="0"/>
        <w:adjustRightInd/>
        <w:snapToGrid/>
        <w:spacing w:before="9" w:line="560" w:lineRule="exact"/>
        <w:ind w:firstLine="720"/>
        <w:jc w:val="both"/>
        <w:textAlignment w:val="auto"/>
        <w:rPr>
          <w:rFonts w:hint="eastAsia" w:ascii="黑体" w:hAnsi="黑体" w:eastAsia="黑体" w:cs="黑体"/>
          <w:b w:val="0"/>
          <w:bCs/>
          <w:color w:val="000000"/>
          <w:sz w:val="32"/>
          <w:szCs w:val="32"/>
        </w:rPr>
      </w:pPr>
      <w:r>
        <w:rPr>
          <w:rFonts w:hint="eastAsia" w:ascii="黑体" w:hAnsi="黑体" w:eastAsia="黑体" w:cs="黑体"/>
          <w:b w:val="0"/>
          <w:bCs/>
          <w:color w:val="000000"/>
          <w:sz w:val="32"/>
          <w:szCs w:val="32"/>
          <w:lang w:val="en-US" w:eastAsia="zh-CN"/>
        </w:rPr>
        <w:t>二、</w:t>
      </w:r>
      <w:r>
        <w:rPr>
          <w:rFonts w:hint="eastAsia" w:ascii="黑体" w:hAnsi="黑体" w:eastAsia="黑体" w:cs="黑体"/>
          <w:b w:val="0"/>
          <w:bCs/>
          <w:color w:val="000000"/>
          <w:sz w:val="32"/>
          <w:szCs w:val="32"/>
        </w:rPr>
        <w:t>农机购置补贴工作</w:t>
      </w:r>
      <w:r>
        <w:rPr>
          <w:rFonts w:hint="eastAsia" w:ascii="黑体" w:hAnsi="黑体" w:eastAsia="黑体" w:cs="黑体"/>
          <w:b w:val="0"/>
          <w:bCs/>
          <w:color w:val="000000"/>
          <w:sz w:val="32"/>
          <w:szCs w:val="32"/>
          <w:lang w:val="en-US" w:eastAsia="zh-CN"/>
        </w:rPr>
        <w:t>流程</w:t>
      </w:r>
    </w:p>
    <w:p w14:paraId="138ADD17">
      <w:pPr>
        <w:keepNext w:val="0"/>
        <w:keepLines w:val="0"/>
        <w:pageBreakBefore w:val="0"/>
        <w:widowControl w:val="0"/>
        <w:kinsoku/>
        <w:wordWrap/>
        <w:overflowPunct/>
        <w:topLinePunct w:val="0"/>
        <w:autoSpaceDE/>
        <w:autoSpaceDN/>
        <w:bidi w:val="0"/>
        <w:adjustRightInd/>
        <w:snapToGrid/>
        <w:spacing w:line="560" w:lineRule="exact"/>
        <w:ind w:left="20" w:right="400" w:firstLine="68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具体工作流程</w:t>
      </w:r>
    </w:p>
    <w:p w14:paraId="5FDFB99C">
      <w:pPr>
        <w:keepNext w:val="0"/>
        <w:keepLines w:val="0"/>
        <w:pageBreakBefore w:val="0"/>
        <w:widowControl w:val="0"/>
        <w:kinsoku/>
        <w:wordWrap/>
        <w:overflowPunct/>
        <w:topLinePunct w:val="0"/>
        <w:autoSpaceDE/>
        <w:autoSpaceDN/>
        <w:bidi w:val="0"/>
        <w:adjustRightInd/>
        <w:snapToGrid/>
        <w:spacing w:line="560" w:lineRule="exact"/>
        <w:ind w:left="20" w:right="400" w:firstLine="68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eastAsia="zh-CN"/>
        </w:rPr>
        <w:t>报废农机主体</w:t>
      </w:r>
      <w:r>
        <w:rPr>
          <w:rFonts w:hint="eastAsia" w:ascii="仿宋_GB2312" w:hAnsi="仿宋_GB2312" w:eastAsia="仿宋_GB2312" w:cs="仿宋_GB2312"/>
          <w:color w:val="000000"/>
          <w:sz w:val="32"/>
          <w:szCs w:val="32"/>
        </w:rPr>
        <w:t>申请→</w:t>
      </w:r>
      <w:r>
        <w:rPr>
          <w:rFonts w:hint="eastAsia" w:ascii="仿宋_GB2312" w:hAnsi="仿宋_GB2312" w:eastAsia="仿宋_GB2312" w:cs="仿宋_GB2312"/>
          <w:color w:val="000000"/>
          <w:sz w:val="32"/>
          <w:szCs w:val="32"/>
          <w:lang w:val="en-US" w:eastAsia="zh-CN"/>
        </w:rPr>
        <w:t>报废企业提供报废确认表</w:t>
      </w:r>
      <w:r>
        <w:rPr>
          <w:rFonts w:hint="eastAsia" w:ascii="仿宋_GB2312" w:hAnsi="仿宋_GB2312" w:eastAsia="仿宋_GB2312" w:cs="仿宋_GB2312"/>
          <w:color w:val="000000"/>
          <w:sz w:val="32"/>
          <w:szCs w:val="32"/>
        </w:rPr>
        <w:t>→街镇农机主管部门受理→街镇农机主管部门</w:t>
      </w:r>
      <w:r>
        <w:rPr>
          <w:rFonts w:hint="eastAsia" w:ascii="仿宋_GB2312" w:hAnsi="仿宋_GB2312" w:eastAsia="仿宋_GB2312" w:cs="仿宋_GB2312"/>
          <w:color w:val="000000"/>
          <w:sz w:val="32"/>
          <w:szCs w:val="32"/>
          <w:lang w:val="en-US" w:eastAsia="zh-CN"/>
        </w:rPr>
        <w:t>对报废企业提供</w:t>
      </w:r>
      <w:r>
        <w:rPr>
          <w:rFonts w:hint="eastAsia" w:ascii="仿宋_GB2312" w:hAnsi="仿宋_GB2312" w:eastAsia="仿宋_GB2312" w:cs="仿宋_GB2312"/>
          <w:color w:val="000000"/>
          <w:sz w:val="32"/>
          <w:szCs w:val="32"/>
        </w:rPr>
        <w:t>补贴对象</w:t>
      </w:r>
      <w:r>
        <w:rPr>
          <w:rFonts w:hint="eastAsia" w:ascii="仿宋_GB2312" w:hAnsi="仿宋_GB2312" w:eastAsia="仿宋_GB2312" w:cs="仿宋_GB2312"/>
          <w:color w:val="000000"/>
          <w:sz w:val="32"/>
          <w:szCs w:val="32"/>
          <w:lang w:val="en-US" w:eastAsia="zh-CN"/>
        </w:rPr>
        <w:t>资料</w:t>
      </w:r>
      <w:r>
        <w:rPr>
          <w:rFonts w:hint="eastAsia" w:ascii="仿宋_GB2312" w:hAnsi="仿宋_GB2312" w:eastAsia="仿宋_GB2312" w:cs="仿宋_GB2312"/>
          <w:color w:val="000000"/>
          <w:sz w:val="32"/>
          <w:szCs w:val="32"/>
        </w:rPr>
        <w:t>核查</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机具、人机合影等→街镇农机主管部门将</w:t>
      </w:r>
      <w:r>
        <w:rPr>
          <w:rFonts w:hint="eastAsia" w:ascii="仿宋_GB2312" w:hAnsi="仿宋_GB2312" w:eastAsia="仿宋_GB2312" w:cs="仿宋_GB2312"/>
          <w:color w:val="000000"/>
          <w:sz w:val="32"/>
          <w:szCs w:val="32"/>
          <w:lang w:val="en-US" w:eastAsia="zh-CN"/>
        </w:rPr>
        <w:t>盖章报废确认表导入报废</w:t>
      </w:r>
      <w:r>
        <w:rPr>
          <w:rFonts w:hint="eastAsia" w:ascii="仿宋_GB2312" w:hAnsi="仿宋_GB2312" w:eastAsia="仿宋_GB2312" w:cs="仿宋_GB2312"/>
          <w:color w:val="000000"/>
          <w:sz w:val="32"/>
          <w:szCs w:val="32"/>
        </w:rPr>
        <w:t>管理系统、归档材料→街镇农机主管部门公示信息→街镇农机主管部门</w:t>
      </w:r>
      <w:r>
        <w:rPr>
          <w:rFonts w:hint="eastAsia" w:ascii="仿宋_GB2312" w:hAnsi="仿宋_GB2312" w:eastAsia="仿宋_GB2312" w:cs="仿宋_GB2312"/>
          <w:color w:val="000000"/>
          <w:sz w:val="32"/>
          <w:szCs w:val="32"/>
          <w:lang w:val="en-US" w:eastAsia="zh-CN"/>
        </w:rPr>
        <w:t>提出申请</w:t>
      </w:r>
      <w:r>
        <w:rPr>
          <w:rFonts w:hint="eastAsia" w:ascii="仿宋_GB2312" w:hAnsi="仿宋_GB2312" w:eastAsia="仿宋_GB2312" w:cs="仿宋_GB2312"/>
          <w:color w:val="000000"/>
          <w:sz w:val="32"/>
          <w:szCs w:val="32"/>
        </w:rPr>
        <w:t>→街镇财政所确认</w:t>
      </w:r>
      <w:r>
        <w:rPr>
          <w:rFonts w:hint="eastAsia" w:ascii="仿宋_GB2312" w:hAnsi="仿宋_GB2312" w:eastAsia="仿宋_GB2312" w:cs="仿宋_GB2312"/>
          <w:color w:val="000000"/>
          <w:sz w:val="32"/>
          <w:szCs w:val="32"/>
          <w:lang w:val="en-US" w:eastAsia="zh-CN"/>
        </w:rPr>
        <w:t>申请</w:t>
      </w:r>
      <w:r>
        <w:rPr>
          <w:rFonts w:hint="eastAsia" w:ascii="仿宋_GB2312" w:hAnsi="仿宋_GB2312" w:eastAsia="仿宋_GB2312" w:cs="仿宋_GB2312"/>
          <w:color w:val="000000"/>
          <w:sz w:val="32"/>
          <w:szCs w:val="32"/>
        </w:rPr>
        <w:t>→街镇农机主管部门上报</w:t>
      </w:r>
      <w:r>
        <w:rPr>
          <w:rFonts w:hint="eastAsia" w:ascii="仿宋_GB2312" w:hAnsi="仿宋_GB2312" w:eastAsia="仿宋_GB2312" w:cs="仿宋_GB2312"/>
          <w:color w:val="000000"/>
          <w:sz w:val="32"/>
          <w:szCs w:val="32"/>
          <w:lang w:val="en-US" w:eastAsia="zh-CN"/>
        </w:rPr>
        <w:t>申请名单清册</w:t>
      </w:r>
      <w:r>
        <w:rPr>
          <w:rFonts w:hint="eastAsia" w:ascii="仿宋_GB2312" w:hAnsi="仿宋_GB2312" w:eastAsia="仿宋_GB2312" w:cs="仿宋_GB2312"/>
          <w:color w:val="000000"/>
          <w:sz w:val="32"/>
          <w:szCs w:val="32"/>
        </w:rPr>
        <w:t>→区农业农村局审核材料→区农业农村局公示信息→区农业农村局报送结算审核意见→区财政局复核材料、兑付资金。相关主体的具体工作职责：</w:t>
      </w:r>
    </w:p>
    <w:p w14:paraId="2F297DF5">
      <w:pPr>
        <w:keepNext w:val="0"/>
        <w:keepLines w:val="0"/>
        <w:pageBreakBefore w:val="0"/>
        <w:widowControl w:val="0"/>
        <w:kinsoku/>
        <w:wordWrap/>
        <w:overflowPunct/>
        <w:topLinePunct w:val="0"/>
        <w:autoSpaceDE/>
        <w:autoSpaceDN/>
        <w:bidi w:val="0"/>
        <w:adjustRightInd/>
        <w:snapToGrid/>
        <w:spacing w:line="560" w:lineRule="exact"/>
        <w:ind w:left="20" w:right="220" w:firstLine="700"/>
        <w:jc w:val="both"/>
        <w:textAlignment w:val="auto"/>
        <w:rPr>
          <w:rFonts w:hint="eastAsia" w:ascii="仿宋_GB2312" w:hAnsi="仿宋_GB2312" w:eastAsia="仿宋_GB2312" w:cs="仿宋_GB2312"/>
          <w:color w:val="000000"/>
          <w:sz w:val="32"/>
          <w:szCs w:val="32"/>
          <w:lang w:val="en-US" w:eastAsia="zh-CN"/>
        </w:rPr>
      </w:pPr>
      <w:r>
        <w:rPr>
          <w:rFonts w:hint="default" w:ascii="仿宋_GB2312" w:hAnsi="仿宋_GB2312" w:eastAsia="仿宋_GB2312" w:cs="仿宋_GB2312"/>
          <w:sz w:val="32"/>
          <w:szCs w:val="32"/>
          <w:lang w:val="en-US"/>
        </w:rPr>
        <mc:AlternateContent>
          <mc:Choice Requires="wps">
            <w:drawing>
              <wp:anchor distT="0" distB="0" distL="114300" distR="114300" simplePos="0" relativeHeight="251659264" behindDoc="0" locked="0" layoutInCell="1" allowOverlap="1">
                <wp:simplePos x="0" y="0"/>
                <wp:positionH relativeFrom="page">
                  <wp:posOffset>666750</wp:posOffset>
                </wp:positionH>
                <wp:positionV relativeFrom="page">
                  <wp:posOffset>6288405</wp:posOffset>
                </wp:positionV>
                <wp:extent cx="5359400" cy="1117600"/>
                <wp:effectExtent l="0" t="0" r="635" b="14605"/>
                <wp:wrapNone/>
                <wp:docPr id="12"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ECB7EE">
                            <w:pPr>
                              <w:spacing w:line="340" w:lineRule="auto"/>
                              <w:jc w:val="both"/>
                              <w:rPr>
                                <w:sz w:val="31"/>
                              </w:rPr>
                            </w:pPr>
                          </w:p>
                        </w:txbxContent>
                      </wps:txbx>
                      <wps:bodyPr wrap="none" lIns="25400" tIns="0" rIns="25400" bIns="0">
                        <a:spAutoFit/>
                      </wps:bodyPr>
                    </wps:wsp>
                  </a:graphicData>
                </a:graphic>
              </wp:anchor>
            </w:drawing>
          </mc:Choice>
          <mc:Fallback>
            <w:pict>
              <v:shape id="文本框 2" o:spid="_x0000_s1026" o:spt="202" type="#_x0000_t202" style="position:absolute;left:0pt;margin-left:52.5pt;margin-top:495.15pt;height:88pt;width:422pt;mso-position-horizontal-relative:page;mso-position-vertical-relative:page;mso-wrap-style:none;z-index:251659264;mso-width-relative:page;mso-height-relative:page;" filled="f" stroked="f" coordsize="21600,21600" o:gfxdata="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00RBE2QAAAAwB&#10;AAAPAAAAAAAAAAEAIAAAACIAAABkcnMvZG93bnJldi54bWxQSwECFAAUAAAACACHTuJA3CMTieEB&#10;AACrAwAADgAAAAAAAAABACAAAAAoAQAAZHJzL2Uyb0RvYy54bWxQSwUGAAAAAAYABgBZAQAAewUA&#10;AAAA&#10;">
                <v:fill on="f" focussize="0,0"/>
                <v:stroke on="f" weight="0.5pt"/>
                <v:imagedata o:title=""/>
                <o:lock v:ext="edit" aspectratio="f"/>
                <v:textbox inset="2pt,0mm,2pt,0mm" style="mso-fit-shape-to-text:t;">
                  <w:txbxContent>
                    <w:p w14:paraId="2DECB7EE">
                      <w:pPr>
                        <w:spacing w:line="340" w:lineRule="auto"/>
                        <w:jc w:val="both"/>
                        <w:rPr>
                          <w:sz w:val="31"/>
                        </w:rPr>
                      </w:pPr>
                    </w:p>
                  </w:txbxContent>
                </v:textbox>
              </v:shape>
            </w:pict>
          </mc:Fallback>
        </mc:AlternateContent>
      </w:r>
      <w:r>
        <w:rPr>
          <w:rFonts w:hint="eastAsia" w:ascii="仿宋_GB2312" w:hAnsi="仿宋_GB2312" w:eastAsia="仿宋_GB2312" w:cs="仿宋_GB2312"/>
          <w:sz w:val="32"/>
          <w:szCs w:val="32"/>
          <w:lang w:val="en-US" w:eastAsia="zh-CN"/>
        </w:rPr>
        <w:t>报废企业</w:t>
      </w:r>
      <w:r>
        <w:rPr>
          <w:rFonts w:hint="eastAsia" w:ascii="仿宋_GB2312" w:hAnsi="仿宋_GB2312" w:eastAsia="仿宋_GB2312" w:cs="仿宋_GB2312"/>
          <w:color w:val="000000"/>
          <w:sz w:val="32"/>
          <w:szCs w:val="32"/>
        </w:rPr>
        <w:t>：提供</w:t>
      </w:r>
      <w:r>
        <w:rPr>
          <w:rFonts w:hint="eastAsia" w:ascii="仿宋_GB2312" w:hAnsi="仿宋_GB2312" w:eastAsia="仿宋_GB2312" w:cs="仿宋_GB2312"/>
          <w:color w:val="000000"/>
          <w:sz w:val="32"/>
          <w:szCs w:val="32"/>
          <w:lang w:val="en-US" w:eastAsia="zh-CN"/>
        </w:rPr>
        <w:t>申报主体报废确认表、提前报废申请书、机具来源承诺书等资料</w:t>
      </w:r>
      <w:r>
        <w:rPr>
          <w:rFonts w:hint="eastAsia" w:ascii="仿宋_GB2312" w:hAnsi="仿宋_GB2312" w:eastAsia="仿宋_GB2312" w:cs="仿宋_GB2312"/>
          <w:color w:val="000000"/>
          <w:sz w:val="32"/>
          <w:szCs w:val="32"/>
        </w:rPr>
        <w:t>给街镇农机</w:t>
      </w:r>
      <w:r>
        <w:rPr>
          <w:rFonts w:hint="eastAsia" w:ascii="仿宋_GB2312" w:hAnsi="仿宋_GB2312" w:eastAsia="仿宋_GB2312" w:cs="仿宋_GB2312"/>
          <w:color w:val="000000"/>
          <w:sz w:val="32"/>
          <w:szCs w:val="32"/>
          <w:lang w:val="en-US" w:eastAsia="zh-CN"/>
        </w:rPr>
        <w:t>主管部门，确认受理意见；</w:t>
      </w:r>
    </w:p>
    <w:p w14:paraId="2A87254B">
      <w:pPr>
        <w:keepNext w:val="0"/>
        <w:keepLines w:val="0"/>
        <w:pageBreakBefore w:val="0"/>
        <w:widowControl w:val="0"/>
        <w:kinsoku/>
        <w:wordWrap/>
        <w:overflowPunct/>
        <w:topLinePunct w:val="0"/>
        <w:autoSpaceDE/>
        <w:autoSpaceDN/>
        <w:bidi w:val="0"/>
        <w:adjustRightInd/>
        <w:snapToGrid/>
        <w:spacing w:line="560" w:lineRule="exact"/>
        <w:ind w:left="20" w:right="220" w:firstLine="700"/>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街镇农机部门：对购机者提供的补贴申请资料进行逐一核对，并出具受理或不予受理通知，及时上报补贴对象审核、违规经营等方面情况。</w:t>
      </w:r>
    </w:p>
    <w:p w14:paraId="72FFE2D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mc:AlternateContent>
          <mc:Choice Requires="wps">
            <w:drawing>
              <wp:anchor distT="0" distB="0" distL="114300" distR="114300" simplePos="0" relativeHeight="251659264" behindDoc="0" locked="0" layoutInCell="1" allowOverlap="1">
                <wp:simplePos x="0" y="0"/>
                <wp:positionH relativeFrom="page">
                  <wp:posOffset>1003300</wp:posOffset>
                </wp:positionH>
                <wp:positionV relativeFrom="page">
                  <wp:posOffset>9715500</wp:posOffset>
                </wp:positionV>
                <wp:extent cx="495300" cy="228600"/>
                <wp:effectExtent l="0" t="0" r="635" b="14605"/>
                <wp:wrapNone/>
                <wp:docPr id="16"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739C6B">
                            <w:pPr>
                              <w:spacing w:line="288" w:lineRule="auto"/>
                              <w:jc w:val="left"/>
                              <w:rPr>
                                <w:sz w:val="34"/>
                              </w:rPr>
                            </w:pPr>
                          </w:p>
                        </w:txbxContent>
                      </wps:txbx>
                      <wps:bodyPr wrap="none" lIns="25400" tIns="0" rIns="25400" bIns="0">
                        <a:spAutoFit/>
                      </wps:bodyPr>
                    </wps:wsp>
                  </a:graphicData>
                </a:graphic>
              </wp:anchor>
            </w:drawing>
          </mc:Choice>
          <mc:Fallback>
            <w:pict>
              <v:shape id="文本框 2" o:spid="_x0000_s1026" o:spt="202" type="#_x0000_t202" style="position:absolute;left:0pt;margin-left:79pt;margin-top:765pt;height:18pt;width:39pt;mso-position-horizontal-relative:page;mso-position-vertical-relative:page;mso-wrap-style:none;z-index:251659264;mso-width-relative:page;mso-height-relative:page;" filled="f" stroked="f" coordsize="21600,21600" o:gfxdata="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TGA85dcAAAANAQAA&#10;DwAAAAAAAAABACAAAAAiAAAAZHJzL2Rvd25yZXYueG1sUEsBAhQAFAAAAAgAh07iQLjB55HhAQAA&#10;qwMAAA4AAAAAAAAAAQAgAAAAJgEAAGRycy9lMm9Eb2MueG1sUEsFBgAAAAAGAAYAWQEAAHkFAAAA&#10;AA==&#10;">
                <v:fill on="f" focussize="0,0"/>
                <v:stroke on="f" weight="0.5pt"/>
                <v:imagedata o:title=""/>
                <o:lock v:ext="edit" aspectratio="f"/>
                <v:textbox inset="2pt,0mm,2pt,0mm" style="mso-fit-shape-to-text:t;">
                  <w:txbxContent>
                    <w:p w14:paraId="77739C6B">
                      <w:pPr>
                        <w:spacing w:line="288" w:lineRule="auto"/>
                        <w:jc w:val="left"/>
                        <w:rPr>
                          <w:sz w:val="34"/>
                        </w:rPr>
                      </w:pPr>
                    </w:p>
                  </w:txbxContent>
                </v:textbox>
              </v:shape>
            </w:pict>
          </mc:Fallback>
        </mc:AlternateContent>
      </w:r>
    </w:p>
    <w:p w14:paraId="609FE7DD">
      <w:pPr>
        <w:keepNext w:val="0"/>
        <w:keepLines w:val="0"/>
        <w:pageBreakBefore w:val="0"/>
        <w:widowControl w:val="0"/>
        <w:numPr>
          <w:ilvl w:val="0"/>
          <w:numId w:val="1"/>
        </w:numPr>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color w:val="000000"/>
          <w:sz w:val="32"/>
          <w:szCs w:val="32"/>
        </w:rPr>
      </w:pPr>
      <w:r>
        <w:rPr>
          <w:rFonts w:hint="eastAsia" w:ascii="仿宋_GB2312" w:hAnsi="仿宋_GB2312" w:eastAsia="仿宋_GB2312" w:cs="仿宋_GB2312"/>
          <w:color w:val="000000"/>
          <w:sz w:val="32"/>
          <w:szCs w:val="32"/>
          <w:lang w:val="en-US" w:eastAsia="zh-CN"/>
        </w:rPr>
        <w:t>农机报废更新</w:t>
      </w:r>
      <w:r>
        <w:rPr>
          <w:rFonts w:hint="eastAsia" w:ascii="仿宋_GB2312" w:hAnsi="仿宋_GB2312" w:eastAsia="仿宋_GB2312" w:cs="仿宋_GB2312"/>
          <w:color w:val="000000"/>
          <w:sz w:val="32"/>
          <w:szCs w:val="32"/>
        </w:rPr>
        <w:t>监管、违规与投诉调查处理（风险等级：</w:t>
      </w:r>
      <w:r>
        <w:rPr>
          <w:rFonts w:hint="eastAsia" w:ascii="仿宋_GB2312" w:hAnsi="仿宋_GB2312" w:eastAsia="仿宋_GB2312" w:cs="仿宋_GB2312"/>
          <w:b/>
          <w:color w:val="000000"/>
          <w:sz w:val="32"/>
          <w:szCs w:val="32"/>
        </w:rPr>
        <w:t>重大）</w:t>
      </w:r>
    </w:p>
    <w:p w14:paraId="149986D9">
      <w:pPr>
        <w:spacing w:line="240" w:lineRule="auto"/>
        <w:ind w:firstLine="0"/>
        <w:jc w:val="both"/>
        <w:rPr>
          <w:rFonts w:hint="eastAsia" w:ascii="仿宋_GB2312" w:hAnsi="仿宋_GB2312" w:eastAsia="仿宋_GB2312" w:cs="仿宋_GB2312"/>
          <w:color w:val="000000"/>
          <w:sz w:val="32"/>
          <w:szCs w:val="32"/>
        </w:rPr>
      </w:pPr>
    </w:p>
    <w:p w14:paraId="3FFF1F0F">
      <w:pPr>
        <w:spacing w:line="273" w:lineRule="auto"/>
        <w:jc w:val="center"/>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lang w:val="en-US" w:eastAsia="zh-CN"/>
        </w:rPr>
        <w:t>农机报废更新</w:t>
      </w:r>
      <w:r>
        <w:rPr>
          <w:rFonts w:hint="eastAsia" w:ascii="仿宋_GB2312" w:hAnsi="仿宋_GB2312" w:eastAsia="仿宋_GB2312" w:cs="仿宋_GB2312"/>
          <w:b/>
          <w:color w:val="000000"/>
          <w:sz w:val="32"/>
          <w:szCs w:val="32"/>
        </w:rPr>
        <w:t>投诉及违规调查处理流程图</w:t>
      </w:r>
    </w:p>
    <w:p w14:paraId="5F27FB89">
      <w:pPr>
        <w:numPr>
          <w:ilvl w:val="0"/>
          <w:numId w:val="0"/>
        </w:numPr>
        <w:spacing w:line="211" w:lineRule="auto"/>
        <w:jc w:val="both"/>
        <w:rPr>
          <w:rFonts w:hint="eastAsia" w:ascii="仿宋_GB2312" w:hAnsi="仿宋_GB2312" w:eastAsia="仿宋_GB2312" w:cs="仿宋_GB2312"/>
          <w:sz w:val="32"/>
          <w:szCs w:val="32"/>
        </w:rPr>
      </w:pPr>
    </w:p>
    <w:p w14:paraId="00E84726">
      <w:pPr>
        <w:numPr>
          <w:ilvl w:val="0"/>
          <w:numId w:val="0"/>
        </w:numPr>
        <w:spacing w:line="211" w:lineRule="auto"/>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0" distR="0">
            <wp:extent cx="5635625" cy="2073910"/>
            <wp:effectExtent l="0" t="0" r="3175" b="2540"/>
            <wp:docPr id="4"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ORMAL"/>
                    <pic:cNvPicPr>
                      <a:picLocks noChangeAspect="1"/>
                    </pic:cNvPicPr>
                  </pic:nvPicPr>
                  <pic:blipFill>
                    <a:blip r:embed="rId8" cstate="print"/>
                    <a:stretch>
                      <a:fillRect/>
                    </a:stretch>
                  </pic:blipFill>
                  <pic:spPr>
                    <a:xfrm>
                      <a:off x="1000" y="1000"/>
                      <a:ext cx="5635625" cy="2073910"/>
                    </a:xfrm>
                    <a:prstGeom prst="rect">
                      <a:avLst/>
                    </a:prstGeom>
                  </pic:spPr>
                </pic:pic>
              </a:graphicData>
            </a:graphic>
          </wp:inline>
        </w:drawing>
      </w:r>
    </w:p>
    <w:p w14:paraId="2231252E">
      <w:pPr>
        <w:keepNext w:val="0"/>
        <w:keepLines w:val="0"/>
        <w:pageBreakBefore w:val="0"/>
        <w:widowControl w:val="0"/>
        <w:kinsoku/>
        <w:wordWrap/>
        <w:overflowPunct/>
        <w:topLinePunct w:val="0"/>
        <w:autoSpaceDE/>
        <w:autoSpaceDN/>
        <w:bidi w:val="0"/>
        <w:adjustRightInd/>
        <w:snapToGrid/>
        <w:spacing w:before="107" w:line="560" w:lineRule="exact"/>
        <w:ind w:right="238" w:firstLine="640"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构建监督管理长效机制。监督管理贯穿农机购置补贴执行的全过程，做到农机购置业务工作和监督管理同布置、同实施。在切实抓好制度建设的同时，注重加强教育、培训、督查、考核等各项配套措施。把开展经常性的岗位廉政教育、加强补贴政策的监督检查作为风险防范的立足点和抓手，切实增强风险防范效果。</w:t>
      </w:r>
    </w:p>
    <w:p w14:paraId="758504D1">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rPr>
      </w:pPr>
    </w:p>
    <w:p w14:paraId="064B5AC7">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南京市六合区农业农村局</w:t>
      </w:r>
    </w:p>
    <w:p w14:paraId="400563AA">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2023年5月17日</w:t>
      </w:r>
    </w:p>
    <w:p w14:paraId="63611C2A">
      <w:pPr>
        <w:numPr>
          <w:ilvl w:val="0"/>
          <w:numId w:val="0"/>
        </w:numPr>
        <w:spacing w:line="211" w:lineRule="auto"/>
        <w:jc w:val="both"/>
        <w:rPr>
          <w:rFonts w:hint="default" w:ascii="仿宋_GB2312" w:hAnsi="仿宋_GB2312" w:eastAsia="仿宋_GB2312" w:cs="仿宋_GB2312"/>
          <w:sz w:val="32"/>
          <w:szCs w:val="32"/>
          <w:lang w:val="en-US" w:eastAsia="zh-CN"/>
        </w:rPr>
        <w:sectPr>
          <w:headerReference r:id="rId3" w:type="default"/>
          <w:footerReference r:id="rId4" w:type="default"/>
          <w:type w:val="continuous"/>
          <w:pgSz w:w="11900" w:h="17000"/>
          <w:pgMar w:top="1200" w:right="1531" w:bottom="1134" w:left="1531" w:header="600" w:footer="1200" w:gutter="0"/>
          <w:cols w:space="720" w:num="1"/>
        </w:sectPr>
      </w:pPr>
      <w:r>
        <w:rPr>
          <w:rFonts w:hint="eastAsia" w:ascii="仿宋_GB2312" w:hAnsi="仿宋_GB2312" w:eastAsia="仿宋_GB2312" w:cs="仿宋_GB2312"/>
          <w:sz w:val="32"/>
          <w:szCs w:val="32"/>
          <w:lang w:val="en-US" w:eastAsia="zh-CN"/>
        </w:rPr>
        <w:t xml:space="preserve">                         </w:t>
      </w:r>
    </w:p>
    <w:p w14:paraId="5FD6A316">
      <w:pPr>
        <w:spacing w:line="220" w:lineRule="auto"/>
        <w:ind w:firstLine="4400"/>
        <w:jc w:val="both"/>
        <w:rPr>
          <w:sz w:val="35"/>
        </w:rPr>
      </w:pPr>
    </w:p>
    <w:sectPr>
      <w:headerReference r:id="rId5" w:type="default"/>
      <w:footerReference r:id="rId6" w:type="default"/>
      <w:type w:val="continuous"/>
      <w:pgSz w:w="11900" w:h="15860"/>
      <w:pgMar w:top="1200" w:right="1200" w:bottom="2880" w:left="1200" w:header="600" w:footer="144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2EE7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E6DC4"/>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B634A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0128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CE002A"/>
    <w:multiLevelType w:val="singleLevel"/>
    <w:tmpl w:val="72CE002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Q5ZjE0YmI4ZWM2NmQ2YmFiZmE0NDJiYTgzN2RiMDAifQ=="/>
  </w:docVars>
  <w:rsids>
    <w:rsidRoot w:val="00BD0BC8"/>
    <w:rsid w:val="000D6051"/>
    <w:rsid w:val="009F0BE0"/>
    <w:rsid w:val="00BA6D97"/>
    <w:rsid w:val="00BD0BC8"/>
    <w:rsid w:val="074A5AD3"/>
    <w:rsid w:val="3B6727FC"/>
    <w:rsid w:val="7AC103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Pages>
  <Words>811</Words>
  <Characters>816</Characters>
  <TotalTime>17</TotalTime>
  <ScaleCrop>false</ScaleCrop>
  <LinksUpToDate>false</LinksUpToDate>
  <CharactersWithSpaces>920</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2024-09-19T07:25:00Z</dcterms:created>
  <dc:creator>INTSIG</dc:creator>
  <dc:description>Intsig Word Converter</dc:description>
  <cp:lastModifiedBy>dell</cp:lastModifiedBy>
  <cp:lastPrinted>2024-12-12T05:40:01Z</cp:lastPrinted>
  <dcterms:modified xsi:type="dcterms:W3CDTF">2024-12-12T05:40:13Z</dcterms:modified>
  <dc:title>wordbuilder</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80CE9FBB2BAC439A99ACBBB0BA9DDC46_13</vt:lpwstr>
  </property>
</Properties>
</file>