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附件</w:t>
      </w:r>
    </w:p>
    <w:p>
      <w:pPr>
        <w:spacing w:line="560" w:lineRule="exact"/>
        <w:rPr>
          <w:rFonts w:hint="default" w:ascii="Times New Roman" w:hAnsi="Times New Roman" w:cs="Times New Roman"/>
        </w:rPr>
      </w:pPr>
    </w:p>
    <w:p>
      <w:pPr>
        <w:spacing w:line="560" w:lineRule="exact"/>
        <w:jc w:val="center"/>
        <w:rPr>
          <w:rFonts w:hint="default" w:ascii="Times New Roman" w:hAnsi="Times New Roman" w:eastAsia="方正小标宋_GBK" w:cs="Times New Roman"/>
          <w:sz w:val="44"/>
          <w:szCs w:val="36"/>
        </w:rPr>
      </w:pPr>
      <w:r>
        <w:rPr>
          <w:rFonts w:hint="default" w:ascii="Times New Roman" w:hAnsi="Times New Roman" w:eastAsia="方正小标宋_GBK" w:cs="Times New Roman"/>
          <w:sz w:val="44"/>
          <w:szCs w:val="36"/>
        </w:rPr>
        <w:t>2024-2026年江苏省农机购置</w:t>
      </w:r>
    </w:p>
    <w:p>
      <w:pPr>
        <w:spacing w:line="560" w:lineRule="exact"/>
        <w:jc w:val="center"/>
        <w:rPr>
          <w:rFonts w:hint="default" w:ascii="Times New Roman" w:hAnsi="Times New Roman" w:eastAsia="方正小标宋_GBK" w:cs="Times New Roman"/>
          <w:sz w:val="44"/>
          <w:szCs w:val="36"/>
        </w:rPr>
      </w:pPr>
      <w:r>
        <w:rPr>
          <w:rFonts w:hint="default" w:ascii="Times New Roman" w:hAnsi="Times New Roman" w:eastAsia="方正小标宋_GBK" w:cs="Times New Roman"/>
          <w:sz w:val="44"/>
          <w:szCs w:val="36"/>
        </w:rPr>
        <w:t>与应用补贴实施意见</w:t>
      </w:r>
    </w:p>
    <w:p>
      <w:pPr>
        <w:spacing w:line="560" w:lineRule="exact"/>
        <w:jc w:val="center"/>
        <w:rPr>
          <w:rFonts w:hint="default" w:ascii="Times New Roman" w:hAnsi="Times New Roman" w:eastAsia="方正楷体_GBK" w:cs="Times New Roman"/>
          <w:sz w:val="32"/>
          <w:szCs w:val="24"/>
        </w:rPr>
      </w:pPr>
      <w:r>
        <w:rPr>
          <w:rFonts w:hint="default" w:ascii="Times New Roman" w:hAnsi="Times New Roman" w:eastAsia="方正楷体_GBK" w:cs="Times New Roman"/>
          <w:sz w:val="32"/>
          <w:szCs w:val="24"/>
        </w:rPr>
        <w:t>（</w:t>
      </w:r>
      <w:r>
        <w:rPr>
          <w:rFonts w:hint="default" w:ascii="Times New Roman" w:hAnsi="Times New Roman" w:eastAsia="方正楷体_GBK" w:cs="Times New Roman"/>
          <w:sz w:val="32"/>
          <w:szCs w:val="24"/>
          <w:lang w:val="en-US" w:eastAsia="zh-CN"/>
        </w:rPr>
        <w:t>征求意见</w:t>
      </w:r>
      <w:r>
        <w:rPr>
          <w:rFonts w:hint="default" w:ascii="Times New Roman" w:hAnsi="Times New Roman" w:eastAsia="方正楷体_GBK" w:cs="Times New Roman"/>
          <w:sz w:val="32"/>
          <w:szCs w:val="24"/>
        </w:rPr>
        <w:t>稿）</w:t>
      </w:r>
    </w:p>
    <w:p>
      <w:pPr>
        <w:spacing w:line="560" w:lineRule="exact"/>
        <w:rPr>
          <w:rFonts w:hint="default" w:ascii="Times New Roman" w:hAnsi="Times New Roman" w:cs="Times New Roman"/>
        </w:rPr>
      </w:pP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一、总体要求</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二、实施重点</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（一）突出支持粮食和重要农产品稳产保供。</w:t>
      </w:r>
      <w:r>
        <w:rPr>
          <w:rFonts w:hint="default" w:ascii="Times New Roman" w:hAnsi="Times New Roman" w:cs="Times New Roman"/>
        </w:rPr>
        <w:t>以保障粮食和重要农产品稳定安全供给为着力点，将更多先进适用机具有序纳入我省补贴范围。聚焦机播（机插）增产和机收减损，重点支持高性能播种机、智能高速插秧机、</w:t>
      </w:r>
      <w:r>
        <w:rPr>
          <w:rFonts w:hint="default" w:ascii="Times New Roman" w:hAnsi="Times New Roman" w:cs="Times New Roman"/>
          <w:lang w:val="en-US" w:eastAsia="zh-CN"/>
        </w:rPr>
        <w:t>大型</w:t>
      </w:r>
      <w:r>
        <w:rPr>
          <w:rFonts w:hint="default" w:ascii="Times New Roman" w:hAnsi="Times New Roman" w:cs="Times New Roman"/>
        </w:rPr>
        <w:t>智能高端联合收获机械等有助于粮油等主要作物大面积单产提升、丘陵山区农业生产急需、农机装备补短板、农业其他领域急需，以及事关国家重大战略实施等农业机械（以下统称“重点机具”）的推广应用。</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（二）突出支持农机科技自主创新和安全可控。</w:t>
      </w:r>
      <w:r>
        <w:rPr>
          <w:rFonts w:hint="default" w:ascii="Times New Roman" w:hAnsi="Times New Roman"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w:t>
      </w:r>
      <w:r>
        <w:rPr>
          <w:rFonts w:hint="default" w:ascii="Times New Roman" w:hAnsi="Times New Roman" w:cs="Times New Roman"/>
          <w:lang w:val="en-US" w:eastAsia="zh-CN"/>
        </w:rPr>
        <w:t>纳</w:t>
      </w:r>
      <w:r>
        <w:rPr>
          <w:rFonts w:hint="default" w:ascii="Times New Roman" w:hAnsi="Times New Roman" w:cs="Times New Roman"/>
        </w:rPr>
        <w:t>入“黑名单”的认证机构或第三方机构出具的认证结果或检测结果不予采信。</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（三）突出优化补贴标准调整。</w:t>
      </w:r>
      <w:r>
        <w:rPr>
          <w:rFonts w:hint="default" w:ascii="Times New Roman" w:hAnsi="Times New Roman"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（四）突出支持先行先试。</w:t>
      </w:r>
      <w:r>
        <w:rPr>
          <w:rFonts w:hint="default" w:ascii="Times New Roman" w:hAnsi="Times New Roman" w:cs="Times New Roman"/>
        </w:rPr>
        <w:t>深化农机购置与应用补贴试点，逐步推广与农机作业量挂钩的兑付补贴资金的操作方式。鼓励探索对参与防灾减灾的机具达到一定作业量后适当给予应用补贴的方式方法。持续实施好农机研发制造推广应用一体化试点，加快先进适用短板创新机具研发制造、熟化定型和推广应用。</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（五）突出强化补贴监管。</w:t>
      </w:r>
      <w:r>
        <w:rPr>
          <w:rFonts w:hint="default" w:ascii="Times New Roman" w:hAnsi="Times New Roman"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（六）突出提升服务效能。</w:t>
      </w:r>
      <w:r>
        <w:rPr>
          <w:rFonts w:hint="default" w:ascii="Times New Roman" w:hAnsi="Times New Roman" w:cs="Times New Roman"/>
        </w:rPr>
        <w:t>优化简化资金兑付流程，增加结算批次，推进补贴全流程线上办理，提高补贴办理便利性，确保及时兑付。加强补贴</w:t>
      </w:r>
      <w:r>
        <w:rPr>
          <w:rFonts w:hint="default" w:ascii="Times New Roman" w:hAnsi="Times New Roman" w:cs="Times New Roman"/>
          <w:lang w:val="en-US" w:eastAsia="zh-CN"/>
        </w:rPr>
        <w:t>资金</w:t>
      </w:r>
      <w:r>
        <w:rPr>
          <w:rFonts w:hint="default" w:ascii="Times New Roman" w:hAnsi="Times New Roman" w:cs="Times New Roman"/>
        </w:rPr>
        <w:t>管理，落实专款专用要求，加大对超期不兑付、兑付慢问题治理力度，补贴预算执行情况与下一年度资金安排挂钩。</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三、补贴范围和补贴机具</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（一）补贴范围。</w:t>
      </w:r>
      <w:r>
        <w:rPr>
          <w:rFonts w:hint="default" w:ascii="Times New Roman" w:hAnsi="Times New Roman" w:cs="Times New Roman"/>
        </w:rPr>
        <w:t>农机购置与应用补贴政策在全省范围内实施。省属单位（国有农场、监狱等）的农机购置与应用补贴，按照属地管理原则，一并纳入所在县（市、区，简称“县级”）统一操作。</w:t>
      </w:r>
    </w:p>
    <w:p>
      <w:pPr>
        <w:spacing w:line="560" w:lineRule="exact"/>
        <w:ind w:firstLine="624" w:firstLineChars="200"/>
        <w:rPr>
          <w:rFonts w:hint="default" w:ascii="Times New Roman" w:hAnsi="Times New Roman" w:eastAsia="方正楷体_GBK" w:cs="Times New Roman"/>
        </w:rPr>
      </w:pPr>
      <w:r>
        <w:rPr>
          <w:rFonts w:hint="default" w:ascii="Times New Roman" w:hAnsi="Times New Roman" w:eastAsia="方正楷体_GBK" w:cs="Times New Roman"/>
        </w:rPr>
        <w:t>（二）补贴机具。</w:t>
      </w:r>
    </w:p>
    <w:p>
      <w:pPr>
        <w:spacing w:line="560" w:lineRule="exact"/>
        <w:ind w:firstLine="624" w:firstLineChars="200"/>
        <w:rPr>
          <w:rFonts w:hint="default" w:ascii="Times New Roman" w:hAnsi="Times New Roman" w:cs="Times New Roman"/>
          <w:b/>
          <w:bCs/>
        </w:rPr>
      </w:pPr>
      <w:r>
        <w:rPr>
          <w:rFonts w:hint="default" w:ascii="Times New Roman" w:hAnsi="Times New Roman" w:cs="Times New Roman"/>
          <w:b/>
          <w:bCs/>
        </w:rPr>
        <w:t>1.常规机具。</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w:t>
      </w:r>
      <w:r>
        <w:rPr>
          <w:rFonts w:hint="default" w:ascii="Times New Roman" w:hAnsi="Times New Roman" w:cs="Times New Roman"/>
          <w:lang w:val="en-US" w:eastAsia="zh-CN"/>
        </w:rPr>
        <w:t>油</w:t>
      </w:r>
      <w:r>
        <w:rPr>
          <w:rFonts w:hint="default" w:ascii="Times New Roman" w:hAnsi="Times New Roman" w:cs="Times New Roman"/>
        </w:rPr>
        <w:t>等主要作物大面积单产提升、机收减损、农机装备补短板、农业其他领域发展急需，以及事关国家重大战略实施等农业机械的推广应用。对区域内保有量明显过多、技术相对落后、不符合</w:t>
      </w:r>
      <w:r>
        <w:rPr>
          <w:rFonts w:hint="default" w:ascii="Times New Roman" w:hAnsi="Times New Roman" w:cs="Times New Roman"/>
          <w:lang w:val="en-US" w:eastAsia="zh-CN"/>
        </w:rPr>
        <w:t>本省</w:t>
      </w:r>
      <w:r>
        <w:rPr>
          <w:rFonts w:hint="default" w:ascii="Times New Roman" w:hAnsi="Times New Roman" w:cs="Times New Roman"/>
        </w:rPr>
        <w:t>实际应用情况、群众反映问题较多、实际使用性能较差的机具建立清单，</w:t>
      </w:r>
      <w:r>
        <w:rPr>
          <w:rFonts w:hint="default" w:ascii="Times New Roman" w:hAnsi="Times New Roman" w:cs="Times New Roman"/>
          <w:lang w:val="en-US" w:eastAsia="zh-CN"/>
        </w:rPr>
        <w:t>分别按照</w:t>
      </w:r>
      <w:r>
        <w:rPr>
          <w:rFonts w:hint="default" w:ascii="Times New Roman" w:hAnsi="Times New Roman" w:cs="Times New Roman"/>
        </w:rPr>
        <w:t>降低补贴标准、退坡或退出补贴范围</w:t>
      </w:r>
      <w:r>
        <w:rPr>
          <w:rFonts w:hint="default" w:ascii="Times New Roman" w:hAnsi="Times New Roman" w:cs="Times New Roman"/>
          <w:lang w:val="en-US" w:eastAsia="zh-CN"/>
        </w:rPr>
        <w:t>等方式</w:t>
      </w:r>
      <w:r>
        <w:rPr>
          <w:rFonts w:hint="default" w:ascii="Times New Roman" w:hAnsi="Times New Roman" w:cs="Times New Roman"/>
        </w:rPr>
        <w:t>处理。各地可根据本地区农业生产需要，从我省补贴范围中选取确定本地补贴机具品目。</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全面开展农用无人驾驶航空器购置补贴工作，按有关规定引导农用无人驾驶航空器在农业领域规范应用；补贴对象</w:t>
      </w:r>
      <w:r>
        <w:rPr>
          <w:rFonts w:hint="default" w:ascii="Times New Roman" w:hAnsi="Times New Roman" w:cs="Times New Roman"/>
          <w:lang w:val="en-US" w:eastAsia="zh-CN"/>
        </w:rPr>
        <w:t>调整</w:t>
      </w:r>
      <w:r>
        <w:rPr>
          <w:rFonts w:hint="default" w:ascii="Times New Roman" w:hAnsi="Times New Roman" w:cs="Times New Roman"/>
        </w:rPr>
        <w:t>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对于农用无人驾驶航空器补贴资质，</w:t>
      </w:r>
      <w:r>
        <w:rPr>
          <w:rFonts w:hint="default" w:ascii="Times New Roman" w:hAnsi="Times New Roman" w:cs="Times New Roman"/>
          <w:highlight w:val="none"/>
        </w:rPr>
        <w:t>必须具备农机购置补贴机具资质采信认证机构颁发的农机自愿性产品认证证书</w:t>
      </w:r>
      <w:r>
        <w:rPr>
          <w:rFonts w:hint="default" w:ascii="Times New Roman" w:hAnsi="Times New Roman" w:cs="Times New Roman"/>
        </w:rPr>
        <w:t>，如有调整，另行发文通知。</w:t>
      </w:r>
    </w:p>
    <w:p>
      <w:pPr>
        <w:spacing w:line="560" w:lineRule="exact"/>
        <w:ind w:firstLine="624" w:firstLineChars="200"/>
        <w:rPr>
          <w:rFonts w:hint="default" w:ascii="Times New Roman" w:hAnsi="Times New Roman" w:cs="Times New Roman"/>
          <w:b/>
          <w:bCs/>
        </w:rPr>
      </w:pPr>
      <w:r>
        <w:rPr>
          <w:rFonts w:hint="default" w:ascii="Times New Roman" w:hAnsi="Times New Roman" w:cs="Times New Roman"/>
          <w:b/>
          <w:bCs/>
        </w:rPr>
        <w:t>2.农机创新产品。</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b w:val="0"/>
          <w:bCs w:val="0"/>
        </w:rPr>
        <w:t>包括专项鉴定产品和农机新产品购置补贴试点。其中，中央财政</w:t>
      </w:r>
      <w:r>
        <w:rPr>
          <w:rFonts w:hint="default" w:ascii="Times New Roman" w:hAnsi="Times New Roman" w:cs="Times New Roman"/>
        </w:rPr>
        <w:t>资金</w:t>
      </w:r>
      <w:r>
        <w:rPr>
          <w:rFonts w:hint="default" w:ascii="Times New Roman" w:hAnsi="Times New Roman" w:cs="Times New Roman"/>
          <w:b w:val="0"/>
          <w:bCs w:val="0"/>
        </w:rPr>
        <w:t>农机创新产品补贴，按照农业农村部、财政部有关要求实施。</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四、补贴对象和补贴标准</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（一）补贴对象。</w:t>
      </w:r>
      <w:r>
        <w:rPr>
          <w:rFonts w:hint="default" w:ascii="Times New Roman" w:hAnsi="Times New Roman" w:cs="Times New Roman"/>
        </w:rPr>
        <w:t>补贴对象为从事农业生产的农民和农业生产经营组织（以下简称“购机者”），其中农业生产经营组织包括农村集体经济组织、农民专业合作经济组织、农业企业和其他从事农业生产经营的组织。</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（二）补贴标准。</w:t>
      </w:r>
      <w:r>
        <w:rPr>
          <w:rFonts w:hint="default" w:ascii="Times New Roman" w:hAnsi="Times New Roman" w:cs="Times New Roman"/>
        </w:rPr>
        <w:t>中央和省级财政农机购置与应用补贴实行定额补贴，即同一种类、同一档次农业机械在全省范围内实行统一的补贴标准。省农业农村部门、财政部门统筹考虑、合理制定发布我省补贴额一览表（另发），补贴额测算比例、单机补贴限额等，按农业农村部、财政部有关要求执行。</w:t>
      </w:r>
      <w:r>
        <w:rPr>
          <w:rFonts w:hint="eastAsia" w:cs="Times New Roman"/>
          <w:lang w:val="en-US" w:eastAsia="zh-CN"/>
        </w:rPr>
        <w:t>每个农民和农业生产经营组织年度享受农机购置与应用补贴最高限额分别为60万元和100万元。</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部门、财政部门。</w:t>
      </w:r>
      <w:r>
        <w:rPr>
          <w:rFonts w:hint="default" w:ascii="Times New Roman" w:hAnsi="Times New Roman" w:cs="Times New Roman"/>
          <w:lang w:val="en-US" w:eastAsia="zh-C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五、资金分配与使用</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农机购置与应用补贴支出主要用于支持购置使用先进适用的农业机械，以及开展有关试点和农机报废更新等方面。</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（一）资金分配。</w:t>
      </w:r>
      <w:r>
        <w:rPr>
          <w:rFonts w:hint="default" w:ascii="Times New Roman" w:hAnsi="Times New Roman" w:cs="Times New Roman"/>
        </w:rPr>
        <w:t>省财政部门会同省农业农村部门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w:t>
      </w:r>
      <w:r>
        <w:rPr>
          <w:rFonts w:hint="default" w:ascii="Times New Roman" w:hAnsi="Times New Roman" w:cs="Times New Roman"/>
          <w:lang w:val="en-US" w:eastAsia="zh-CN"/>
        </w:rPr>
        <w:t>县（市、区）</w:t>
      </w:r>
      <w:r>
        <w:rPr>
          <w:rFonts w:hint="default" w:ascii="Times New Roman" w:hAnsi="Times New Roman" w:cs="Times New Roman"/>
        </w:rPr>
        <w:t>的补贴资金调增给需求较大的</w:t>
      </w:r>
      <w:r>
        <w:rPr>
          <w:rFonts w:hint="default" w:ascii="Times New Roman" w:hAnsi="Times New Roman" w:cs="Times New Roman"/>
          <w:lang w:val="en-US" w:eastAsia="zh-CN"/>
        </w:rPr>
        <w:t>县（市、区）</w:t>
      </w:r>
      <w:r>
        <w:rPr>
          <w:rFonts w:hint="default" w:ascii="Times New Roman" w:hAnsi="Times New Roman" w:cs="Times New Roman"/>
        </w:rPr>
        <w:t>，确保不发生资金大量结转，促进资金使用实现两年动态紧平衡。对于发生严重违法违规行为并造成不良影响的地区以及预算执行进度严重滞后的地区，扣减下一年度补贴资金预算。</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补贴资金不能满足兑付需求的市县，不得实施累加补贴。因保障粮食和重要农产品稳定安全供给重大战略需要、农业生产急需适用等情况，需实施累加补贴的，县</w:t>
      </w:r>
      <w:r>
        <w:rPr>
          <w:rFonts w:hint="default" w:ascii="Times New Roman" w:hAnsi="Times New Roman" w:cs="Times New Roman"/>
          <w:lang w:val="en-US" w:eastAsia="zh-CN"/>
        </w:rPr>
        <w:t>农业农村、财政部门</w:t>
      </w:r>
      <w:r>
        <w:rPr>
          <w:rFonts w:hint="default" w:ascii="Times New Roman" w:hAnsi="Times New Roman" w:cs="Times New Roman"/>
        </w:rPr>
        <w:t>须制订本地区累加补贴实施方案，经市级农业农村、财政部门审核报省，由省农业农村部门、财政部门联合报农业农村部、财政部备案后再行实施。禁止以推广补助等奖补名义违规实施农机累加补贴。未按程序报备自行实施的，将扣减相关市县下一年度购机补贴资金预算。</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（二）农机创新产品资金分配与使用。</w:t>
      </w:r>
      <w:r>
        <w:rPr>
          <w:rFonts w:hint="default" w:ascii="Times New Roman" w:hAnsi="Times New Roman" w:cs="Times New Roman"/>
        </w:rPr>
        <w:t>对农机创新产品，由省农业农村部门会同省财政部门，共同研究确定年度资金使用规模。</w:t>
      </w:r>
      <w:r>
        <w:rPr>
          <w:rFonts w:hint="default" w:ascii="Times New Roman" w:hAnsi="Times New Roman" w:cs="Times New Roman"/>
          <w:lang w:val="en-US" w:eastAsia="zh-CN"/>
        </w:rPr>
        <w:t>其中，</w:t>
      </w:r>
      <w:r>
        <w:rPr>
          <w:rFonts w:hint="default" w:ascii="Times New Roman" w:hAnsi="Times New Roman" w:cs="Times New Roman"/>
        </w:rPr>
        <w:t>中央财政资金农机创新产品年度使用资金量按</w:t>
      </w:r>
      <w:r>
        <w:rPr>
          <w:rFonts w:hint="default" w:ascii="Times New Roman" w:hAnsi="Times New Roman" w:cs="Times New Roman"/>
          <w:lang w:val="en-US" w:eastAsia="zh-CN"/>
        </w:rPr>
        <w:t>农业农村部、财政部要求确定</w:t>
      </w:r>
      <w:r>
        <w:rPr>
          <w:rFonts w:hint="default" w:ascii="Times New Roman" w:hAnsi="Times New Roman" w:cs="Times New Roman"/>
        </w:rPr>
        <w:t>。由农业农村部、财政部确认的保障粮食和重要农产品稳定安全供给重大战略需要、农业生产急需的农机创新产品不占用我省年度使用资金规模指标。</w:t>
      </w:r>
    </w:p>
    <w:p>
      <w:pPr>
        <w:spacing w:line="560" w:lineRule="exact"/>
        <w:ind w:firstLine="624" w:firstLineChars="200"/>
        <w:rPr>
          <w:rFonts w:hint="default" w:ascii="Times New Roman" w:hAnsi="Times New Roman" w:eastAsia="方正楷体_GBK" w:cs="Times New Roman"/>
        </w:rPr>
      </w:pPr>
      <w:r>
        <w:rPr>
          <w:rFonts w:hint="default" w:ascii="Times New Roman" w:hAnsi="Times New Roman" w:eastAsia="方正楷体_GBK" w:cs="Times New Roman"/>
        </w:rPr>
        <w:t>（三）组织开展创新试点。</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b/>
          <w:bCs/>
        </w:rPr>
        <w:t>实施农机购置与应用补贴。</w:t>
      </w:r>
      <w:r>
        <w:rPr>
          <w:rFonts w:hint="default" w:ascii="Times New Roman" w:hAnsi="Times New Roman"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b/>
          <w:bCs/>
        </w:rPr>
        <w:t>组织开展农机研发制造推广应用一体化试点。</w:t>
      </w:r>
      <w:r>
        <w:rPr>
          <w:rFonts w:hint="default" w:ascii="Times New Roman" w:hAnsi="Times New Roman"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施方案，按规定报农业农村部、财政部备案后组织实施。</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楷体_GBK" w:cs="Times New Roman"/>
        </w:rPr>
        <w:t>（四）支出责任与兑付。</w:t>
      </w:r>
      <w:r>
        <w:rPr>
          <w:rFonts w:hint="default" w:ascii="Times New Roman" w:hAnsi="Times New Roman" w:cs="Times New Roman"/>
        </w:rPr>
        <w:t>农机购置与应用补贴资金必须足额保障，不得挤占、截留、挪用或用于其他支出。中央财政补贴资金按中央财政补贴范围实施，省级财政补贴资金统筹用于中央和省级补贴范围实施。中央、省级财政</w:t>
      </w:r>
      <w:r>
        <w:rPr>
          <w:rFonts w:hint="default" w:ascii="Times New Roman" w:hAnsi="Times New Roman" w:cs="Times New Roman"/>
          <w:lang w:val="en-US" w:eastAsia="zh-CN"/>
        </w:rPr>
        <w:t>安排</w:t>
      </w:r>
      <w:r>
        <w:rPr>
          <w:rFonts w:hint="default" w:ascii="Times New Roman" w:hAnsi="Times New Roman" w:cs="Times New Roman"/>
        </w:rPr>
        <w:t>资金优先用于以往年度已录入但尚未兑付及当年已购机的补贴申请，并通过办理服务系统予以体现。相关工作开展情况纳入责任制考核。省、市、县级财政部门要单独安排保障补贴工作实施必要的组织管理经费，包括政策实施绩效考核、机具核验、信息化建设、第三方抽查核验等工作经费，保证惠农补贴政策规范廉洁高效实施。</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六、操作实施流程</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我省农机购置与应用补贴政策实行“自主购机、定额补贴、先购后补、乡镇受理、县级结算、直补到卡（户）”。购机行为完成后，购机者自主向当地</w:t>
      </w:r>
      <w:r>
        <w:rPr>
          <w:rFonts w:hint="default" w:ascii="Times New Roman" w:hAnsi="Times New Roman" w:cs="Times New Roman"/>
          <w:lang w:val="en-US" w:eastAsia="zh-CN"/>
        </w:rPr>
        <w:t>乡镇</w:t>
      </w:r>
      <w:r>
        <w:rPr>
          <w:rFonts w:hint="default" w:ascii="Times New Roman" w:hAnsi="Times New Roman" w:cs="Times New Roman"/>
        </w:rPr>
        <w:t>农业农村部门提出补贴资金申领事项，签署告知承诺书，承诺购买行为、发票购机价格等信息真实有效，按相关规定申办补贴。</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（一）发布实施规定。</w:t>
      </w:r>
      <w:r>
        <w:rPr>
          <w:rFonts w:hint="default" w:ascii="Times New Roman" w:hAnsi="Times New Roman"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（二）组织机具投档。</w:t>
      </w:r>
      <w:r>
        <w:rPr>
          <w:rFonts w:hint="default" w:ascii="Times New Roman" w:hAnsi="Times New Roman" w:cs="Times New Roman"/>
        </w:rPr>
        <w:t>省农业农村部门按照《农机购置补贴机具投档工作规范（试行）》（农办机〔2019〕7号）和《江苏省农机购置与应用补贴机具投档工作办法》（苏农办机〔2022〕8号）等要求，</w:t>
      </w:r>
      <w:r>
        <w:rPr>
          <w:rFonts w:hint="default" w:ascii="Times New Roman" w:hAnsi="Times New Roman" w:cs="Times New Roman"/>
          <w:lang w:val="en-US" w:eastAsia="zh-CN"/>
        </w:rPr>
        <w:t>组织省农机试验鉴定机构</w:t>
      </w:r>
      <w:r>
        <w:rPr>
          <w:rFonts w:hint="default" w:ascii="Times New Roman" w:hAnsi="Times New Roman" w:cs="Times New Roman"/>
        </w:rPr>
        <w:t>通过农机购置与应用补贴产品自主投档平台，常年受理企业投档，分批组织开展审核，公示公布投档结果，并导入江苏省农机购置与应用补贴申请办理服务系统（以下简称“办理服务系统”）。严格投档资料审核，组织相关专家严格审</w:t>
      </w:r>
      <w:r>
        <w:rPr>
          <w:rFonts w:hint="default" w:ascii="Times New Roman" w:hAnsi="Times New Roman" w:cs="Times New Roman"/>
          <w:lang w:val="en-US" w:eastAsia="zh-CN"/>
        </w:rPr>
        <w:t>查</w:t>
      </w:r>
      <w:r>
        <w:rPr>
          <w:rFonts w:hint="default" w:ascii="Times New Roman" w:hAnsi="Times New Roman" w:cs="Times New Roman"/>
        </w:rPr>
        <w:t>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（三）现场演示评价。</w:t>
      </w:r>
      <w:r>
        <w:rPr>
          <w:rFonts w:hint="default" w:ascii="Times New Roman" w:hAnsi="Times New Roman" w:cs="Times New Roman"/>
        </w:rPr>
        <w:t>省农业农村部门组织</w:t>
      </w:r>
      <w:r>
        <w:rPr>
          <w:rFonts w:hint="default" w:ascii="Times New Roman" w:hAnsi="Times New Roman" w:cs="Times New Roman"/>
          <w:lang w:val="en-US" w:eastAsia="zh-CN"/>
        </w:rPr>
        <w:t>省</w:t>
      </w:r>
      <w:r>
        <w:rPr>
          <w:rFonts w:hint="default" w:ascii="Times New Roman" w:hAnsi="Times New Roman" w:cs="Times New Roman"/>
        </w:rPr>
        <w:t>农机技术推广服务机构</w:t>
      </w:r>
      <w:r>
        <w:rPr>
          <w:rFonts w:hint="default" w:ascii="Times New Roman" w:hAnsi="Times New Roman" w:cs="Times New Roman"/>
          <w:lang w:eastAsia="zh-CN"/>
        </w:rPr>
        <w:t>，</w:t>
      </w:r>
      <w:r>
        <w:rPr>
          <w:rFonts w:hint="default" w:ascii="Times New Roman" w:hAnsi="Times New Roman" w:cs="Times New Roman"/>
        </w:rPr>
        <w:t>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（四）自主购机。</w:t>
      </w:r>
      <w:r>
        <w:rPr>
          <w:rFonts w:hint="default" w:ascii="Times New Roman" w:hAnsi="Times New Roman" w:cs="Times New Roman"/>
        </w:rPr>
        <w:t>购机者自主选择购买机具，按市场化原则自行与农机产销企业协商确定购机价格与支付方式，</w:t>
      </w:r>
      <w:r>
        <w:rPr>
          <w:rFonts w:hint="default" w:ascii="Times New Roman" w:hAnsi="Times New Roman" w:cs="Times New Roman"/>
          <w:lang w:val="en-US" w:eastAsia="zh-CN"/>
        </w:rPr>
        <w:t>保留转账付款交易记录，</w:t>
      </w:r>
      <w:r>
        <w:rPr>
          <w:rFonts w:hint="default" w:ascii="Times New Roman" w:hAnsi="Times New Roman" w:cs="Times New Roman"/>
        </w:rPr>
        <w:t>原则上购机价格在5000元以上的鼓励非现金方式支付购机款，并对交易行为真实性、有效性和可能发生的纠纷承担法律责任。</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（五）受理补贴申请。</w:t>
      </w:r>
      <w:r>
        <w:rPr>
          <w:rFonts w:hint="default" w:ascii="Times New Roman" w:hAnsi="Times New Roman"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年度内享受补贴资金总额的上限及其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（六）机具核验。</w:t>
      </w:r>
      <w:r>
        <w:rPr>
          <w:rFonts w:hint="default" w:ascii="Times New Roman" w:hAnsi="Times New Roman" w:cs="Times New Roman"/>
        </w:rPr>
        <w:t>鼓励</w:t>
      </w:r>
      <w:r>
        <w:rPr>
          <w:rFonts w:hint="default" w:ascii="Times New Roman" w:hAnsi="Times New Roman" w:cs="Times New Roman"/>
          <w:lang w:val="en-US" w:eastAsia="zh-CN"/>
        </w:rPr>
        <w:t>县乡</w:t>
      </w:r>
      <w:r>
        <w:rPr>
          <w:rFonts w:hint="default" w:ascii="Times New Roman" w:hAnsi="Times New Roman" w:cs="Times New Roman"/>
        </w:rPr>
        <w:t>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（七）审验公示信息。</w:t>
      </w:r>
      <w:r>
        <w:rPr>
          <w:rFonts w:hint="default" w:ascii="Times New Roman" w:hAnsi="Times New Roman"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（八）兑付补贴资金。</w:t>
      </w:r>
      <w:r>
        <w:rPr>
          <w:rFonts w:hint="default" w:ascii="Times New Roman" w:hAnsi="Times New Roman" w:cs="Times New Roman"/>
        </w:rPr>
        <w:t>县级农业农村部门在公示完成后5个工作日内，向县级财政部门提交资金兑付申请与有关材料，县级财政部门于15个工作日内</w:t>
      </w:r>
      <w:r>
        <w:rPr>
          <w:rFonts w:hint="default" w:ascii="Times New Roman" w:hAnsi="Times New Roman" w:cs="Times New Roman"/>
          <w:highlight w:val="none"/>
        </w:rPr>
        <w:t>按照财政惠农一卡通管理要求</w:t>
      </w:r>
      <w:r>
        <w:rPr>
          <w:rFonts w:hint="default" w:ascii="Times New Roman" w:hAnsi="Times New Roman" w:cs="Times New Roman"/>
        </w:rPr>
        <w:t>，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部门会同财政部门，根据农业生产需求，可指定有关品目（或档次）优先录入、优先兑付。</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（九）组织抽查。</w:t>
      </w:r>
      <w:r>
        <w:rPr>
          <w:rFonts w:hint="default" w:ascii="Times New Roman" w:hAnsi="Times New Roman"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pPr>
        <w:spacing w:line="560" w:lineRule="exact"/>
        <w:ind w:firstLine="624" w:firstLineChars="200"/>
        <w:rPr>
          <w:rFonts w:hint="default" w:ascii="Times New Roman" w:hAnsi="Times New Roman" w:eastAsia="方正黑体_GBK" w:cs="Times New Roman"/>
        </w:rPr>
      </w:pPr>
      <w:r>
        <w:rPr>
          <w:rFonts w:hint="default" w:ascii="Times New Roman" w:hAnsi="Times New Roman" w:eastAsia="方正黑体_GBK" w:cs="Times New Roman"/>
        </w:rPr>
        <w:t>七、实施要求</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（一）加强领导，明确分工。</w:t>
      </w:r>
      <w:r>
        <w:rPr>
          <w:rFonts w:hint="default" w:ascii="Times New Roman" w:hAnsi="Times New Roman"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w:t>
      </w:r>
      <w:r>
        <w:rPr>
          <w:rFonts w:hint="default" w:ascii="Times New Roman" w:hAnsi="Times New Roman" w:cs="Times New Roman"/>
          <w:lang w:val="en-US" w:eastAsia="zh-CN"/>
        </w:rPr>
        <w:t>意识</w:t>
      </w:r>
      <w:r>
        <w:rPr>
          <w:rFonts w:hint="default" w:ascii="Times New Roman" w:hAnsi="Times New Roman" w:cs="Times New Roman"/>
        </w:rPr>
        <w:t>。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（二）创新鉴定，强化支撑。</w:t>
      </w:r>
      <w:r>
        <w:rPr>
          <w:rFonts w:hint="default" w:ascii="Times New Roman" w:hAnsi="Times New Roman" w:cs="Times New Roman"/>
          <w:lang w:val="en-US" w:eastAsia="zh-CN"/>
        </w:rPr>
        <w:t>各级</w:t>
      </w:r>
      <w:r>
        <w:rPr>
          <w:rFonts w:hint="default" w:ascii="Times New Roman" w:hAnsi="Times New Roman" w:cs="Times New Roman"/>
        </w:rPr>
        <w:t>农业农村部门会同有关部门加强对鉴定工作的组织领导，落实农机企业申请鉴定的属地管理责任，强化证前核查证后监督，按农业农村部、</w:t>
      </w:r>
      <w:r>
        <w:rPr>
          <w:rFonts w:hint="default" w:ascii="Times New Roman" w:hAnsi="Times New Roman" w:cs="Times New Roman"/>
          <w:highlight w:val="none"/>
        </w:rPr>
        <w:t>财政</w:t>
      </w:r>
      <w:r>
        <w:rPr>
          <w:rFonts w:hint="default" w:ascii="Times New Roman" w:hAnsi="Times New Roman" w:cs="Times New Roman"/>
        </w:rPr>
        <w:t>部有关要求组织开展</w:t>
      </w:r>
      <w:r>
        <w:rPr>
          <w:rFonts w:hint="default" w:ascii="Times New Roman" w:hAnsi="Times New Roman" w:cs="Times New Roman"/>
          <w:lang w:val="en-US" w:eastAsia="zh-CN"/>
        </w:rPr>
        <w:t>新能源农机（混合动力或电动等重点机具）、大型</w:t>
      </w:r>
      <w:r>
        <w:rPr>
          <w:rFonts w:hint="default" w:ascii="Times New Roman" w:hAnsi="Times New Roman" w:cs="Times New Roman"/>
        </w:rPr>
        <w:t>高端智能绿色重点机具的鉴定任务。我省鉴定能力不足的，可委托外省有鉴定能力的机构鉴定，并组织相关鉴定机构和市</w:t>
      </w:r>
      <w:r>
        <w:rPr>
          <w:rFonts w:hint="default" w:ascii="Times New Roman" w:hAnsi="Times New Roman" w:cs="Times New Roman"/>
          <w:lang w:eastAsia="zh-CN"/>
        </w:rPr>
        <w:t>、</w:t>
      </w:r>
      <w:r>
        <w:rPr>
          <w:rFonts w:hint="default" w:ascii="Times New Roman" w:hAnsi="Times New Roman" w:cs="Times New Roman"/>
        </w:rPr>
        <w:t>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（三）优化服务，提升效能。</w:t>
      </w:r>
      <w:r>
        <w:rPr>
          <w:rFonts w:hint="default" w:ascii="Times New Roman" w:hAnsi="Times New Roman" w:cs="Times New Roman"/>
        </w:rPr>
        <w:t>依托办理服务系统，动态分析基层农业农村和财政部门办理补贴申请具体时限，及时预警和定期通报超时办理行为，督促各地切实加快补贴申请受理、资</w:t>
      </w:r>
      <w:r>
        <w:rPr>
          <w:rFonts w:hint="default" w:ascii="Times New Roman" w:hAnsi="Times New Roman" w:cs="Times New Roman"/>
          <w:lang w:val="en-US" w:eastAsia="zh-CN"/>
        </w:rPr>
        <w:t>料</w:t>
      </w:r>
      <w:r>
        <w:rPr>
          <w:rFonts w:hint="default" w:ascii="Times New Roman" w:hAnsi="Times New Roman" w:cs="Times New Roman"/>
        </w:rPr>
        <w:t>审核、机具核验、资金兑付等工作。畅通产业链供应链，营造良好营商环境。提高补贴机具核验信息化水平，加快农机试验鉴定（认证）及检验检测、机具投档、牌证管理、补贴资金申领等环节信息系统的互联互通</w:t>
      </w:r>
      <w:r>
        <w:rPr>
          <w:rFonts w:hint="default" w:ascii="Times New Roman" w:hAnsi="Times New Roman" w:cs="Times New Roman"/>
          <w:lang w:eastAsia="zh-CN"/>
        </w:rPr>
        <w:t>，</w:t>
      </w:r>
      <w:r>
        <w:rPr>
          <w:rFonts w:hint="default" w:ascii="Times New Roman" w:hAnsi="Times New Roman" w:cs="Times New Roman"/>
        </w:rPr>
        <w:t>积极探索补贴申请、电子签名、远程视频核验、资金兑付全流程线上办理新模式。</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（四）公开信息，接受监督。</w:t>
      </w:r>
      <w:r>
        <w:rPr>
          <w:rFonts w:hint="default" w:ascii="Times New Roman" w:hAnsi="Times New Roman"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pPr>
        <w:spacing w:line="560" w:lineRule="exact"/>
        <w:ind w:firstLine="624" w:firstLineChars="200"/>
        <w:rPr>
          <w:rFonts w:hint="default" w:ascii="Times New Roman" w:hAnsi="Times New Roman" w:cs="Times New Roman"/>
        </w:rPr>
      </w:pPr>
      <w:r>
        <w:rPr>
          <w:rFonts w:hint="default" w:ascii="Times New Roman" w:hAnsi="Times New Roman" w:eastAsia="方正楷体_GBK" w:cs="Times New Roman"/>
        </w:rPr>
        <w:t>（五）加强监管，严惩违规。</w:t>
      </w:r>
      <w:r>
        <w:rPr>
          <w:rFonts w:hint="default" w:ascii="Times New Roman" w:hAnsi="Times New Roman" w:cs="Times New Roman"/>
        </w:rPr>
        <w:t>各地要认真执行《农业农村部办公厅、财政部办公厅关于进一步加强农机购置补贴政策监管强化纪律约束的通知》（农办机〔2019〕6号）、《农业机械购置补贴产品违规经营行为处理办法（试行）》（农办财〔2017〕26号）和《江苏省农业机械购置补贴产品经营违规行为处理规定》（苏农规〔2019〕9号）、《江苏省农机购置补贴异常情形报告制度》（苏农机〔2021〕2号）、《关于进一步加强农机购置与应用补贴监管工作的意见》（苏农机〔2024〕3号）等要求，严格落实属地管理责任，加强风险防控和异常情形主动报告，更加严格实施信用管理和农机产销企业承诺制。</w:t>
      </w:r>
      <w:r>
        <w:rPr>
          <w:rFonts w:hint="default" w:ascii="Times New Roman" w:hAnsi="Times New Roman" w:cs="Times New Roman"/>
          <w:szCs w:val="32"/>
        </w:rPr>
        <w:t>省农机技术推广服务</w:t>
      </w:r>
      <w:r>
        <w:rPr>
          <w:rFonts w:hint="default" w:ascii="Times New Roman" w:hAnsi="Times New Roman" w:cs="Times New Roman"/>
          <w:szCs w:val="32"/>
          <w:lang w:val="en-US" w:eastAsia="zh-CN"/>
        </w:rPr>
        <w:t>机构</w:t>
      </w:r>
      <w:r>
        <w:rPr>
          <w:rFonts w:hint="default" w:ascii="Times New Roman" w:hAnsi="Times New Roman" w:cs="Times New Roman"/>
          <w:szCs w:val="32"/>
        </w:rPr>
        <w:t>组织抽取部分机具进行适应性评价，并形成报告。</w:t>
      </w:r>
      <w:r>
        <w:rPr>
          <w:rFonts w:hint="default" w:ascii="Times New Roman" w:hAnsi="Times New Roman"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w:t>
      </w:r>
      <w:r>
        <w:rPr>
          <w:rFonts w:hint="default" w:ascii="Times New Roman" w:hAnsi="Times New Roman" w:cs="Times New Roman"/>
          <w:lang w:eastAsia="zh-CN"/>
        </w:rPr>
        <w:t>，</w:t>
      </w:r>
      <w:r>
        <w:rPr>
          <w:rFonts w:hint="default" w:ascii="Times New Roman" w:hAnsi="Times New Roman" w:cs="Times New Roman"/>
          <w:lang w:val="en-US" w:eastAsia="zh-CN"/>
        </w:rPr>
        <w:t>有力维护政策实施良好秩序</w:t>
      </w:r>
      <w:r>
        <w:rPr>
          <w:rFonts w:hint="default" w:ascii="Times New Roman" w:hAnsi="Times New Roman" w:cs="Times New Roman"/>
        </w:rPr>
        <w:t>。</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pPr>
        <w:spacing w:line="560" w:lineRule="exact"/>
        <w:ind w:firstLine="624" w:firstLineChars="200"/>
        <w:rPr>
          <w:rFonts w:hint="default" w:ascii="Times New Roman" w:hAnsi="Times New Roman" w:cs="Times New Roman"/>
        </w:rPr>
      </w:pPr>
      <w:r>
        <w:rPr>
          <w:rFonts w:hint="default" w:ascii="Times New Roman" w:hAnsi="Times New Roman"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pPr>
        <w:spacing w:line="560" w:lineRule="exact"/>
        <w:rPr>
          <w:rFonts w:hint="default" w:ascii="Times New Roman" w:hAnsi="Times New Roman" w:cs="Times New Roman"/>
        </w:rPr>
      </w:pPr>
    </w:p>
    <w:p>
      <w:pPr>
        <w:spacing w:line="560" w:lineRule="exact"/>
        <w:ind w:left="1860" w:leftChars="200" w:hanging="1236" w:hangingChars="396"/>
        <w:rPr>
          <w:rFonts w:hint="default" w:ascii="Times New Roman" w:hAnsi="Times New Roman" w:cs="Times New Roman"/>
        </w:rPr>
      </w:pPr>
      <w:r>
        <w:rPr>
          <w:rFonts w:hint="default" w:ascii="Times New Roman" w:hAnsi="Times New Roman" w:cs="Times New Roman"/>
        </w:rPr>
        <w:t>附件：1.2024-2026年江苏省农机购置与应用补贴机具种类范围</w:t>
      </w:r>
    </w:p>
    <w:p>
      <w:pPr>
        <w:spacing w:line="560" w:lineRule="exact"/>
        <w:ind w:left="1860" w:leftChars="500" w:hanging="300" w:hangingChars="96"/>
        <w:rPr>
          <w:rFonts w:hint="default" w:ascii="Times New Roman" w:hAnsi="Times New Roman" w:cs="Times New Roman"/>
        </w:rPr>
      </w:pPr>
      <w:r>
        <w:rPr>
          <w:rFonts w:hint="default" w:ascii="Times New Roman" w:hAnsi="Times New Roman" w:cs="Times New Roman"/>
        </w:rPr>
        <w:t>2.江苏省农机购置与应用补贴机具安装确认表（参考格式）</w:t>
      </w:r>
    </w:p>
    <w:p>
      <w:pPr>
        <w:spacing w:line="560" w:lineRule="exact"/>
        <w:ind w:left="1860" w:leftChars="500" w:hanging="300" w:hangingChars="96"/>
        <w:rPr>
          <w:rFonts w:hint="default" w:ascii="Times New Roman" w:hAnsi="Times New Roman" w:cs="Times New Roman"/>
        </w:rPr>
      </w:pPr>
      <w:r>
        <w:rPr>
          <w:rFonts w:hint="default" w:ascii="Times New Roman" w:hAnsi="Times New Roman" w:cs="Times New Roman"/>
        </w:rPr>
        <w:t>3.江苏省农机购置与应用补贴相关职责</w:t>
      </w:r>
    </w:p>
    <w:p>
      <w:pPr>
        <w:spacing w:line="560" w:lineRule="exact"/>
        <w:rPr>
          <w:rFonts w:hint="default" w:ascii="Times New Roman" w:hAnsi="Times New Roman" w:cs="Times New Roman"/>
        </w:rPr>
      </w:pPr>
    </w:p>
    <w:p>
      <w:pPr>
        <w:spacing w:line="560" w:lineRule="exact"/>
        <w:rPr>
          <w:rFonts w:hint="default" w:ascii="Times New Roman" w:hAnsi="Times New Roman" w:cs="Times New Roman"/>
        </w:rPr>
      </w:pPr>
      <w:r>
        <w:rPr>
          <w:rFonts w:hint="default" w:ascii="Times New Roman" w:hAnsi="Times New Roman" w:cs="Times New Roman"/>
        </w:rPr>
        <w:br w:type="page"/>
      </w:r>
    </w:p>
    <w:p>
      <w:pPr>
        <w:spacing w:line="560" w:lineRule="exact"/>
        <w:rPr>
          <w:rFonts w:hint="default" w:ascii="Times New Roman" w:hAnsi="Times New Roman" w:eastAsia="方正黑体_GBK" w:cs="Times New Roman"/>
          <w:szCs w:val="32"/>
        </w:rPr>
      </w:pPr>
      <w:r>
        <w:rPr>
          <w:rFonts w:hint="default" w:ascii="Times New Roman" w:hAnsi="Times New Roman" w:eastAsia="方正黑体_GBK" w:cs="Times New Roman"/>
          <w:szCs w:val="32"/>
        </w:rPr>
        <w:t>附件1</w:t>
      </w:r>
    </w:p>
    <w:p>
      <w:pPr>
        <w:spacing w:line="560" w:lineRule="exact"/>
        <w:rPr>
          <w:rFonts w:hint="default" w:ascii="Times New Roman" w:hAnsi="Times New Roman" w:eastAsia="方正黑体_GBK" w:cs="Times New Roman"/>
          <w:szCs w:val="32"/>
        </w:rPr>
      </w:pPr>
    </w:p>
    <w:p>
      <w:pPr>
        <w:spacing w:line="560" w:lineRule="exact"/>
        <w:jc w:val="center"/>
        <w:rPr>
          <w:rFonts w:hint="default" w:ascii="Times New Roman" w:hAnsi="Times New Roman" w:eastAsia="方正小标宋_GBK" w:cs="Times New Roman"/>
          <w:bCs/>
          <w:sz w:val="44"/>
          <w:szCs w:val="44"/>
        </w:rPr>
      </w:pPr>
      <w:r>
        <w:rPr>
          <w:rFonts w:hint="default" w:ascii="Times New Roman" w:hAnsi="Times New Roman" w:eastAsia="华文中宋" w:cs="Times New Roman"/>
          <w:bCs/>
          <w:sz w:val="44"/>
          <w:szCs w:val="44"/>
        </w:rPr>
        <w:t>2024-2026</w:t>
      </w:r>
      <w:r>
        <w:rPr>
          <w:rFonts w:hint="default" w:ascii="Times New Roman" w:hAnsi="Times New Roman" w:eastAsia="方正小标宋_GBK" w:cs="Times New Roman"/>
          <w:bCs/>
          <w:sz w:val="44"/>
          <w:szCs w:val="44"/>
        </w:rPr>
        <w:t>年江苏省农机购置</w:t>
      </w:r>
    </w:p>
    <w:p>
      <w:pPr>
        <w:spacing w:line="560" w:lineRule="exact"/>
        <w:jc w:val="center"/>
        <w:rPr>
          <w:rFonts w:hint="default" w:ascii="Times New Roman" w:hAnsi="Times New Roman" w:eastAsia="方正小标宋_GBK" w:cs="Times New Roman"/>
          <w:bCs/>
          <w:sz w:val="44"/>
          <w:szCs w:val="44"/>
        </w:rPr>
      </w:pPr>
      <w:r>
        <w:rPr>
          <w:rFonts w:hint="default" w:ascii="Times New Roman" w:hAnsi="Times New Roman" w:eastAsia="方正小标宋_GBK" w:cs="Times New Roman"/>
          <w:bCs/>
          <w:sz w:val="44"/>
          <w:szCs w:val="44"/>
        </w:rPr>
        <w:t>与应用补贴机具种类范围</w:t>
      </w:r>
    </w:p>
    <w:p>
      <w:pPr>
        <w:spacing w:line="560" w:lineRule="exact"/>
        <w:jc w:val="center"/>
        <w:rPr>
          <w:rFonts w:hint="default" w:ascii="Times New Roman" w:hAnsi="Times New Roman"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大类</w:t>
            </w:r>
          </w:p>
        </w:tc>
        <w:tc>
          <w:tcPr>
            <w:tcW w:w="1560" w:type="dxa"/>
            <w:vAlign w:val="center"/>
          </w:tcPr>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小类</w:t>
            </w:r>
          </w:p>
        </w:tc>
        <w:tc>
          <w:tcPr>
            <w:tcW w:w="3385" w:type="dxa"/>
            <w:vAlign w:val="center"/>
          </w:tcPr>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中央财政补贴品目</w:t>
            </w:r>
          </w:p>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w:t>
            </w:r>
            <w:r>
              <w:rPr>
                <w:rFonts w:hint="default" w:ascii="Times New Roman" w:hAnsi="Times New Roman" w:eastAsia="方正黑体_GBK" w:cs="Times New Roman"/>
                <w:sz w:val="24"/>
                <w:highlight w:val="none"/>
              </w:rPr>
              <w:t>XX大类XX个小类XXX个</w:t>
            </w:r>
            <w:r>
              <w:rPr>
                <w:rFonts w:hint="default" w:ascii="Times New Roman" w:hAnsi="Times New Roman" w:eastAsia="方正黑体_GBK" w:cs="Times New Roman"/>
                <w:sz w:val="24"/>
              </w:rPr>
              <w:t>）</w:t>
            </w:r>
          </w:p>
        </w:tc>
        <w:tc>
          <w:tcPr>
            <w:tcW w:w="2748" w:type="dxa"/>
            <w:vAlign w:val="center"/>
          </w:tcPr>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省级财政补贴品目</w:t>
            </w:r>
          </w:p>
          <w:p>
            <w:pPr>
              <w:adjustRightInd w:val="0"/>
              <w:snapToGrid w:val="0"/>
              <w:spacing w:line="320" w:lineRule="exact"/>
              <w:jc w:val="center"/>
              <w:rPr>
                <w:rFonts w:hint="default" w:ascii="Times New Roman" w:hAnsi="Times New Roman" w:eastAsia="方正黑体_GBK" w:cs="Times New Roman"/>
                <w:sz w:val="24"/>
              </w:rPr>
            </w:pPr>
            <w:r>
              <w:rPr>
                <w:rFonts w:hint="default" w:ascii="Times New Roman" w:hAnsi="Times New Roman" w:eastAsia="方正黑体_GBK" w:cs="Times New Roman"/>
                <w:sz w:val="24"/>
              </w:rPr>
              <w:t>（</w:t>
            </w:r>
            <w:r>
              <w:rPr>
                <w:rFonts w:hint="default" w:ascii="Times New Roman" w:hAnsi="Times New Roman" w:eastAsia="方正黑体_GBK" w:cs="Times New Roman"/>
                <w:sz w:val="24"/>
                <w:highlight w:val="none"/>
              </w:rPr>
              <w:t>X大类X个小类X个</w:t>
            </w:r>
            <w:r>
              <w:rPr>
                <w:rFonts w:hint="default" w:ascii="Times New Roman" w:hAnsi="Times New Roman" w:eastAsia="方正黑体_GBK" w:cs="Times New Roman"/>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1.耕整地机械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1.1耕地机械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1.1.1犁</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1.1.2旋耕机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1.1.4耕整机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1.1.5深松机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1.1.6开沟机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1.1.7挖坑（成穴）机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1.耕整地机械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1.2整地机械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1.2.1耙（限圆盘耙、驱动耙）</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1.2.2埋茬起浆机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1.2.3起垄机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1.2.4筑埂机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1.2.5灭茬机（不含平茬机、宿根整理机）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1.2.6铺膜机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1.耕整地机械</w:t>
            </w:r>
          </w:p>
        </w:tc>
        <w:tc>
          <w:tcPr>
            <w:tcW w:w="1560" w:type="dxa"/>
            <w:vAlign w:val="center"/>
          </w:tcPr>
          <w:p>
            <w:pPr>
              <w:adjustRightInd w:val="0"/>
              <w:snapToGrid w:val="0"/>
              <w:spacing w:line="280" w:lineRule="exact"/>
              <w:rPr>
                <w:rFonts w:hint="default" w:ascii="Times New Roman" w:hAnsi="Times New Roman" w:cs="Times New Roman"/>
                <w:sz w:val="24"/>
              </w:rPr>
            </w:pPr>
            <w:r>
              <w:rPr>
                <w:rFonts w:hint="default" w:ascii="Times New Roman" w:hAnsi="Times New Roman" w:cs="Times New Roman"/>
                <w:sz w:val="24"/>
              </w:rPr>
              <w:t>1.3耕整地联合作业机械（可含施肥功能）</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1.3.1联合整地机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1.3.2深松整地联合作业机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2.种植施肥机械</w:t>
            </w:r>
          </w:p>
        </w:tc>
        <w:tc>
          <w:tcPr>
            <w:tcW w:w="1560" w:type="dxa"/>
            <w:vAlign w:val="center"/>
          </w:tcPr>
          <w:p>
            <w:pPr>
              <w:adjustRightInd w:val="0"/>
              <w:snapToGrid w:val="0"/>
              <w:spacing w:line="280" w:lineRule="exact"/>
              <w:rPr>
                <w:rFonts w:hint="default" w:ascii="Times New Roman" w:hAnsi="Times New Roman" w:cs="Times New Roman"/>
                <w:sz w:val="24"/>
              </w:rPr>
            </w:pPr>
            <w:r>
              <w:rPr>
                <w:rFonts w:hint="default" w:ascii="Times New Roman" w:hAnsi="Times New Roman" w:cs="Times New Roman"/>
                <w:sz w:val="24"/>
              </w:rPr>
              <w:t>2.1种子播前处理和育苗机械设备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2.1.1种子催芽机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2.1.2苗床用土粉碎机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2.1.3育秧（苗）播种设备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2.1.4营养钵压制机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2.种植施肥机械</w:t>
            </w:r>
          </w:p>
        </w:tc>
        <w:tc>
          <w:tcPr>
            <w:tcW w:w="1560" w:type="dxa"/>
            <w:vAlign w:val="center"/>
          </w:tcPr>
          <w:p>
            <w:pPr>
              <w:adjustRightInd w:val="0"/>
              <w:snapToGrid w:val="0"/>
              <w:spacing w:line="280" w:lineRule="exact"/>
              <w:rPr>
                <w:rFonts w:hint="default" w:ascii="Times New Roman" w:hAnsi="Times New Roman" w:cs="Times New Roman"/>
                <w:sz w:val="24"/>
              </w:rPr>
            </w:pPr>
            <w:r>
              <w:rPr>
                <w:rFonts w:hint="default" w:ascii="Times New Roman" w:hAnsi="Times New Roman" w:cs="Times New Roman"/>
                <w:sz w:val="24"/>
              </w:rPr>
              <w:t>2.2播种机械（可含施肥功能）</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2.2.1条播机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2.2.2穴播机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2.2.3单粒（精密）播种机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2.2.4根（块）茎种子播种机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2.种植施肥机械</w:t>
            </w:r>
          </w:p>
        </w:tc>
        <w:tc>
          <w:tcPr>
            <w:tcW w:w="1560" w:type="dxa"/>
            <w:vAlign w:val="center"/>
          </w:tcPr>
          <w:p>
            <w:pPr>
              <w:adjustRightInd w:val="0"/>
              <w:snapToGrid w:val="0"/>
              <w:spacing w:line="280" w:lineRule="exact"/>
              <w:rPr>
                <w:rFonts w:hint="default" w:ascii="Times New Roman" w:hAnsi="Times New Roman" w:cs="Times New Roman"/>
                <w:sz w:val="24"/>
              </w:rPr>
            </w:pPr>
            <w:r>
              <w:rPr>
                <w:rFonts w:hint="default" w:ascii="Times New Roman" w:hAnsi="Times New Roman" w:cs="Times New Roman"/>
                <w:sz w:val="24"/>
              </w:rPr>
              <w:t>2.3耕整地播种作业机械（可含施肥功能）</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2.3.1旋耕播种机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2.3.2铺膜（带）播种机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2.3.3秸秆还田整地播种机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2.种植施肥机械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2.4栽植机械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2.4.1插秧机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2.4.2抛秧机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2.4.3移栽机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2.种植施肥机械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2.5施肥机械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2.5.1施肥机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2.5.2撒（抛）肥机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2.5.3侧深施肥装置</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3.田间管理机械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3.1中耕机械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3.1.1中耕机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3.1.2田园管理机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3.1.3割草机（含果园无人割草机）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3.田间管理机械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3.2植保机械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3.2.1喷雾机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3.2.2农用（植保）无人驾驶航空器（可含撒播</w:t>
            </w:r>
            <w:r>
              <w:rPr>
                <w:rFonts w:hint="eastAsia" w:cs="Times New Roman"/>
                <w:sz w:val="24"/>
                <w:lang w:val="en-US" w:eastAsia="zh-CN"/>
              </w:rPr>
              <w:t>等</w:t>
            </w:r>
            <w:r>
              <w:rPr>
                <w:rFonts w:hint="default" w:ascii="Times New Roman" w:hAnsi="Times New Roman" w:cs="Times New Roman"/>
                <w:sz w:val="24"/>
              </w:rPr>
              <w:t>功能）</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3.田间管理机械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3.3修剪防护管理机械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3.3.1修剪机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3.3.2枝条切碎机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3.3.3去雄机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3.3.4埋藤机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3.3.5农用升降作业平台</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4.灌溉机械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4.1喷灌机械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4.1.1喷灌机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4.灌溉机械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4.2微灌设备</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4.2.1微喷灌设备</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4.2.2灌溉首部</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5.1粮食作物收获机械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5.1.2玉米剥皮机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5.1.4谷物联合收割机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5.1.5玉米收获机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5.1.6薯类收获机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5.2棉麻作物收获机械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5.2.1棉花收获机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5.3油料作物收获机械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5.3.1大豆收获机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5.3.2花生收获机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5.3.3油菜籽收获机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5.3.4葵花籽收获机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5.4糖料作物收获机械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5.4.4甜菜收获机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5.5果菜茶烟草药收获机械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5.5.1叶类采收机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5.5.2果类收获机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5.5.3瓜类采收机</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5.5.4根（茎）类收获机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5.6秸秆收集处理机械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5.6.1秸秆粉碎还田机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5.收获机械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5.7收获割台</w:t>
            </w:r>
          </w:p>
        </w:tc>
        <w:tc>
          <w:tcPr>
            <w:tcW w:w="3385"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5.7.1大豆收获专用割台</w:t>
            </w:r>
          </w:p>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5.7.2玉米收获专用割台</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6.设施种植机械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6.1食用菌生产设备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6.1.1菌料灭菌设备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6.1.2菌料装瓶（袋）机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7.田间监测及作业监控设备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7.1田间作业监控设备</w:t>
            </w:r>
          </w:p>
        </w:tc>
        <w:tc>
          <w:tcPr>
            <w:tcW w:w="3385" w:type="dxa"/>
            <w:vAlign w:val="center"/>
          </w:tcPr>
          <w:p>
            <w:pPr>
              <w:adjustRightInd w:val="0"/>
              <w:snapToGrid w:val="0"/>
              <w:spacing w:line="320" w:lineRule="exact"/>
              <w:jc w:val="left"/>
              <w:rPr>
                <w:rFonts w:hint="eastAsia" w:ascii="Times New Roman" w:hAnsi="Times New Roman" w:eastAsia="方正仿宋_GBK" w:cs="Times New Roman"/>
                <w:sz w:val="24"/>
                <w:lang w:eastAsia="zh-CN"/>
              </w:rPr>
            </w:pPr>
            <w:r>
              <w:rPr>
                <w:rFonts w:hint="default" w:ascii="Times New Roman" w:hAnsi="Times New Roman" w:cs="Times New Roman"/>
                <w:sz w:val="24"/>
              </w:rPr>
              <w:t>7.1.1辅助驾驶（系统）设备</w:t>
            </w:r>
            <w:r>
              <w:rPr>
                <w:rFonts w:hint="eastAsia" w:cs="Times New Roman"/>
                <w:sz w:val="24"/>
                <w:lang w:eastAsia="zh-CN"/>
              </w:rPr>
              <w:t>（</w:t>
            </w:r>
            <w:r>
              <w:rPr>
                <w:rFonts w:hint="eastAsia" w:cs="Times New Roman"/>
                <w:sz w:val="24"/>
                <w:lang w:val="en-US" w:eastAsia="zh-CN"/>
              </w:rPr>
              <w:t>含渔船用</w:t>
            </w:r>
            <w:r>
              <w:rPr>
                <w:rFonts w:hint="eastAsia" w:cs="Times New Roman"/>
                <w:sz w:val="24"/>
                <w:lang w:eastAsia="zh-CN"/>
              </w:rPr>
              <w:t>）</w:t>
            </w:r>
            <w:bookmarkStart w:id="0" w:name="_GoBack"/>
            <w:bookmarkEnd w:id="0"/>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8.种植业废弃物处理设备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8.1农田废弃物收集设备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8.1.1残膜回收机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8.种植业废弃物处理设备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8.2农作物废弃物处理设备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8.2.1生物质气化设备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8.2.2秸秆压块（粒、棒）机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9.饲料（草）收获加工运输设备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9.1饲料（草）收获机械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9.1.1割草（压扁）机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9.1.2搂草机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9.1.3打（压）捆机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9.1.4草捆包膜机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9.1.5青（黄）饲料收获机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9.1.6打捆包膜机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9.饲料（草）收获加工运输设备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9.2饲料（草）加工机械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9.2.1铡草机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9.2.2青贮切碎机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9.2.3饲料（草）粉碎机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9.2.4颗粒饲料压制机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9.2.5饲料混合机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9.2.6饲料膨化机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9.2.7全混合日粮制备机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9.饲料（草）收获加工运输设备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9.3饲料（草）搬运机械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9.3.1饲草捆收集机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10.畜禽养殖机械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10.1畜禽养殖成套设备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10.1.1蜜蜂养殖设备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10.畜禽养殖机械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10.2畜禽养殖消杀防疫机械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10.2.1药浴机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10.畜禽养殖机械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10.3畜禽繁育设备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10.3.1孵化机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10.畜禽养殖机械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10.4饲养设备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10.4.1喂（送）料机</w:t>
            </w:r>
          </w:p>
        </w:tc>
        <w:tc>
          <w:tcPr>
            <w:tcW w:w="2748"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10.4.2养殖场料塔（仓）设备（</w:t>
            </w:r>
            <w:r>
              <w:rPr>
                <w:rFonts w:hint="default" w:ascii="Times New Roman" w:hAnsi="Times New Roman" w:cs="Times New Roman"/>
                <w:sz w:val="24"/>
                <w:highlight w:val="none"/>
              </w:rPr>
              <w:t>专项鉴定）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11.畜禽产品采集储运设备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11.1畜禽产品采集设备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11.1.1剪毛机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11.1.2挤奶机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11.1.3生鲜乳速冷设备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11.1.4散装乳冷藏罐</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11.畜禽产品采集储运设备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11.2畜禽产品储运设备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11.2.1储奶罐</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12.畜禽养殖废弃物及病死畜禽处理设备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12.1畜禽粪污资源化利用设备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12.1.1清粪机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12.1.2畜禽粪污固液分离机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12.1.3畜禽粪便发酵处理设备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12.1.4畜禽粪便干燥设备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12.1.5畜禽粪便翻堆设备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12.1.6沼液沼渣抽排设备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12.畜禽养殖废弃物及病死畜禽处理设备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12.2病死畜禽储运及处理设备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12.2.1病死畜禽处理设备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13.水产养殖机械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13.1水产养殖成套设备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13.1.1网箱养殖装置</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13.水产养殖机械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13.2投饲机械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13.2.1投（饲）饵机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13.水产养殖机械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13.3水质调控设备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13.3.1增氧机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13.3.2水质调控监控设备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14.捕捞机械设备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14.1绞纲机械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14.1.1绞纲机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14.捕捞机械设备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14.2其他捕捞机械设备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14.2.1船用油污水分离装置</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15.种子初加工机械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15.1种子初加工机械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15.1.1种子清选机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15.1.2种子包衣机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16.粮油糖初加工机械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16.1粮食初加工机械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16.1.1粮食清选机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16.1.2谷物（粮食）干燥机（烘干机）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16.1.3碾米机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16.1.4粮食色选机</w:t>
            </w:r>
          </w:p>
        </w:tc>
        <w:tc>
          <w:tcPr>
            <w:tcW w:w="2748"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16.1.5金属储粮筒仓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16.粮油糖初加工机械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16.2油料初加工机械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16.2.1油菜籽干燥机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16.2.2油料果（籽）脱（剥）壳机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18.果菜茶初加工机械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18.1果蔬初加工机械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18.1.1果蔬分级机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18.1.2果蔬清洗机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18.1.3水果打蜡机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18.1.4果蔬干燥机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18.1.5脱蓬（脯）机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18.1.6青果（豆）脱壳机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18.1.7干坚果脱壳机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18.1.8果蔬去籽（核）机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18.1.9果蔬冷藏保鲜设备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18.果菜茶初加工机械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18.2茶叶初加工机械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18.2.1茶叶做青机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18.2.2茶叶杀青机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18.2.3茶叶揉捻机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18.2.4茶叶压扁机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18.2.5茶叶理条机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18.2.6茶叶炒（烘）干机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18.2.7茶叶清选机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18.2.8茶叶色选机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18.2.9茶叶输送机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20.农用动力机械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20.1拖拉机</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20.1.1轮式拖拉机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20.1.3履带式拖拉机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21.农用搬运机械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21.1农用运输机械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21.1.1田间搬运机</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21.1.2轨道运输机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22.农用水泵</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22.1农用水泵</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22.1.1潜水电泵</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22.1.2地面泵（机组）</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23.设施环境控制设备</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23.1设施环境控制设备</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23.1.1拉幕（卷帘）设备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23.1.2加温设备</w:t>
            </w:r>
          </w:p>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23.1.3湿帘降温设备</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24.农田基本建设机械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24.1平地机械（限与拖拉机配套）</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24.1.1平地机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231"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24.农田基本建设机械</w:t>
            </w:r>
          </w:p>
        </w:tc>
        <w:tc>
          <w:tcPr>
            <w:tcW w:w="1560" w:type="dxa"/>
            <w:vAlign w:val="center"/>
          </w:tcPr>
          <w:p>
            <w:pPr>
              <w:adjustRightInd w:val="0"/>
              <w:snapToGrid w:val="0"/>
              <w:spacing w:line="320" w:lineRule="exact"/>
              <w:rPr>
                <w:rFonts w:hint="default" w:ascii="Times New Roman" w:hAnsi="Times New Roman" w:cs="Times New Roman"/>
                <w:sz w:val="24"/>
              </w:rPr>
            </w:pPr>
            <w:r>
              <w:rPr>
                <w:rFonts w:hint="default" w:ascii="Times New Roman" w:hAnsi="Times New Roman" w:cs="Times New Roman"/>
                <w:sz w:val="24"/>
              </w:rPr>
              <w:t>24.2清理机械</w:t>
            </w:r>
          </w:p>
        </w:tc>
        <w:tc>
          <w:tcPr>
            <w:tcW w:w="3385" w:type="dxa"/>
            <w:vAlign w:val="center"/>
          </w:tcPr>
          <w:p>
            <w:pPr>
              <w:adjustRightInd w:val="0"/>
              <w:snapToGrid w:val="0"/>
              <w:spacing w:line="320" w:lineRule="exact"/>
              <w:jc w:val="left"/>
              <w:rPr>
                <w:rFonts w:hint="default" w:ascii="Times New Roman" w:hAnsi="Times New Roman" w:cs="Times New Roman"/>
                <w:sz w:val="24"/>
              </w:rPr>
            </w:pPr>
            <w:r>
              <w:rPr>
                <w:rFonts w:hint="default" w:ascii="Times New Roman" w:hAnsi="Times New Roman" w:cs="Times New Roman"/>
                <w:sz w:val="24"/>
              </w:rPr>
              <w:t>24.2.1捡（清）石机</w:t>
            </w:r>
          </w:p>
        </w:tc>
        <w:tc>
          <w:tcPr>
            <w:tcW w:w="2748" w:type="dxa"/>
            <w:vAlign w:val="center"/>
          </w:tcPr>
          <w:p>
            <w:pPr>
              <w:adjustRightInd w:val="0"/>
              <w:snapToGrid w:val="0"/>
              <w:spacing w:line="320" w:lineRule="exact"/>
              <w:jc w:val="left"/>
              <w:rPr>
                <w:rFonts w:hint="default" w:ascii="Times New Roman" w:hAnsi="Times New Roman" w:cs="Times New Roman"/>
                <w:sz w:val="24"/>
              </w:rPr>
            </w:pPr>
          </w:p>
        </w:tc>
      </w:tr>
    </w:tbl>
    <w:p>
      <w:pPr>
        <w:spacing w:line="560" w:lineRule="exact"/>
        <w:rPr>
          <w:rFonts w:hint="default" w:ascii="Times New Roman" w:hAnsi="Times New Roman" w:eastAsia="仿宋_GB2312" w:cs="Times New Roman"/>
          <w:szCs w:val="32"/>
        </w:rPr>
      </w:pPr>
    </w:p>
    <w:p>
      <w:pPr>
        <w:spacing w:line="560" w:lineRule="exact"/>
        <w:rPr>
          <w:rFonts w:hint="default" w:ascii="Times New Roman" w:hAnsi="Times New Roman" w:eastAsia="方正黑体_GBK" w:cs="Times New Roman"/>
        </w:rPr>
      </w:pPr>
      <w:r>
        <w:rPr>
          <w:rFonts w:hint="default" w:ascii="Times New Roman" w:hAnsi="Times New Roman" w:eastAsia="仿宋_GB2312" w:cs="Times New Roman"/>
          <w:szCs w:val="32"/>
        </w:rPr>
        <w:br w:type="page"/>
      </w:r>
    </w:p>
    <w:p>
      <w:pPr>
        <w:adjustRightInd w:val="0"/>
        <w:snapToGrid w:val="0"/>
        <w:spacing w:line="560" w:lineRule="exact"/>
        <w:rPr>
          <w:rFonts w:hint="default" w:ascii="Times New Roman" w:hAnsi="Times New Roman" w:eastAsia="方正黑体_GBK" w:cs="Times New Roman"/>
        </w:rPr>
      </w:pPr>
      <w:r>
        <w:rPr>
          <w:rFonts w:hint="default" w:ascii="Times New Roman" w:hAnsi="Times New Roman" w:eastAsia="方正黑体_GBK" w:cs="Times New Roman"/>
        </w:rPr>
        <w:t>附件2</w:t>
      </w:r>
    </w:p>
    <w:p>
      <w:pPr>
        <w:spacing w:line="560" w:lineRule="exact"/>
        <w:rPr>
          <w:rFonts w:hint="default" w:ascii="Times New Roman" w:hAnsi="Times New Roman" w:cs="Times New Roman"/>
        </w:rPr>
      </w:pPr>
    </w:p>
    <w:p>
      <w:pPr>
        <w:spacing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江苏省农机购置与应用补贴机具安装确认表</w:t>
      </w:r>
    </w:p>
    <w:p>
      <w:pPr>
        <w:adjustRightInd w:val="0"/>
        <w:snapToGrid w:val="0"/>
        <w:jc w:val="center"/>
        <w:rPr>
          <w:rFonts w:hint="default" w:ascii="Times New Roman" w:hAnsi="Times New Roman" w:eastAsia="方正楷体_GBK" w:cs="Times New Roman"/>
        </w:rPr>
      </w:pPr>
      <w:r>
        <w:rPr>
          <w:rFonts w:hint="default" w:ascii="Times New Roman" w:hAnsi="Times New Roman"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产品名称</w:t>
            </w:r>
          </w:p>
        </w:tc>
        <w:tc>
          <w:tcPr>
            <w:tcW w:w="3253" w:type="dxa"/>
            <w:vMerge w:val="restart"/>
            <w:tcBorders>
              <w:top w:val="nil"/>
              <w:left w:val="nil"/>
              <w:bottom w:val="nil"/>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c>
          <w:tcPr>
            <w:tcW w:w="1223" w:type="dxa"/>
            <w:tcBorders>
              <w:top w:val="nil"/>
              <w:left w:val="nil"/>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3253" w:type="dxa"/>
            <w:vMerge w:val="continue"/>
            <w:tcBorders>
              <w:top w:val="nil"/>
              <w:left w:val="nil"/>
              <w:bottom w:val="nil"/>
              <w:right w:val="single" w:color="auto" w:sz="4" w:space="0"/>
            </w:tcBorders>
            <w:vAlign w:val="center"/>
          </w:tcPr>
          <w:p>
            <w:pPr>
              <w:rPr>
                <w:rFonts w:hint="default" w:ascii="Times New Roman" w:hAnsi="Times New Roman" w:cs="Times New Roman"/>
              </w:rPr>
            </w:pPr>
          </w:p>
        </w:tc>
        <w:tc>
          <w:tcPr>
            <w:tcW w:w="1223" w:type="dxa"/>
            <w:tcBorders>
              <w:top w:val="single" w:color="auto" w:sz="4" w:space="0"/>
              <w:left w:val="nil"/>
              <w:bottom w:val="nil"/>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pPr>
              <w:jc w:val="center"/>
              <w:rPr>
                <w:rFonts w:hint="default" w:ascii="Times New Roman" w:hAnsi="Times New Roman" w:cs="Times New Roman"/>
              </w:rPr>
            </w:pPr>
            <w:r>
              <w:rPr>
                <w:rFonts w:hint="default" w:ascii="Times New Roman" w:hAnsi="Times New Roman"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实际安装情况</w:t>
            </w: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1</w:t>
            </w:r>
          </w:p>
        </w:tc>
        <w:tc>
          <w:tcPr>
            <w:tcW w:w="1440" w:type="dxa"/>
            <w:tcBorders>
              <w:top w:val="nil"/>
              <w:left w:val="nil"/>
              <w:bottom w:val="single" w:color="auto" w:sz="4" w:space="0"/>
              <w:right w:val="single" w:color="auto" w:sz="4" w:space="0"/>
            </w:tcBorders>
            <w:vAlign w:val="center"/>
          </w:tcPr>
          <w:p>
            <w:pPr>
              <w:adjustRightInd w:val="0"/>
              <w:snapToGrid w:val="0"/>
              <w:rPr>
                <w:rFonts w:hint="default" w:ascii="Times New Roman" w:hAnsi="Times New Roman" w:cs="Times New Roman"/>
                <w:kern w:val="0"/>
                <w:szCs w:val="21"/>
              </w:rPr>
            </w:pPr>
            <w:r>
              <w:rPr>
                <w:rFonts w:hint="default" w:ascii="Times New Roman" w:hAnsi="Times New Roman"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2</w:t>
            </w:r>
          </w:p>
        </w:tc>
        <w:tc>
          <w:tcPr>
            <w:tcW w:w="1440" w:type="dxa"/>
            <w:tcBorders>
              <w:top w:val="nil"/>
              <w:left w:val="nil"/>
              <w:bottom w:val="single" w:color="auto" w:sz="4" w:space="0"/>
              <w:right w:val="single" w:color="auto" w:sz="4" w:space="0"/>
            </w:tcBorders>
            <w:vAlign w:val="center"/>
          </w:tcPr>
          <w:p>
            <w:pPr>
              <w:adjustRightInd w:val="0"/>
              <w:snapToGrid w:val="0"/>
              <w:jc w:val="left"/>
              <w:rPr>
                <w:rFonts w:hint="default" w:ascii="Times New Roman" w:hAnsi="Times New Roman" w:cs="Times New Roman"/>
                <w:kern w:val="0"/>
                <w:szCs w:val="21"/>
              </w:rPr>
            </w:pPr>
            <w:r>
              <w:rPr>
                <w:rFonts w:hint="default" w:ascii="Times New Roman" w:hAnsi="Times New Roman"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3</w:t>
            </w:r>
          </w:p>
        </w:tc>
        <w:tc>
          <w:tcPr>
            <w:tcW w:w="1440" w:type="dxa"/>
            <w:tcBorders>
              <w:top w:val="nil"/>
              <w:left w:val="nil"/>
              <w:bottom w:val="single" w:color="auto" w:sz="4" w:space="0"/>
              <w:right w:val="single" w:color="auto" w:sz="4" w:space="0"/>
            </w:tcBorders>
            <w:vAlign w:val="center"/>
          </w:tcPr>
          <w:p>
            <w:pPr>
              <w:adjustRightInd w:val="0"/>
              <w:snapToGrid w:val="0"/>
              <w:jc w:val="left"/>
              <w:rPr>
                <w:rFonts w:hint="default" w:ascii="Times New Roman" w:hAnsi="Times New Roman" w:cs="Times New Roman"/>
                <w:kern w:val="0"/>
                <w:sz w:val="21"/>
                <w:szCs w:val="21"/>
              </w:rPr>
            </w:pPr>
            <w:r>
              <w:rPr>
                <w:rFonts w:hint="default" w:ascii="Times New Roman" w:hAnsi="Times New Roman"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4</w:t>
            </w:r>
          </w:p>
        </w:tc>
        <w:tc>
          <w:tcPr>
            <w:tcW w:w="1440" w:type="dxa"/>
            <w:tcBorders>
              <w:top w:val="nil"/>
              <w:left w:val="nil"/>
              <w:bottom w:val="single" w:color="auto" w:sz="4" w:space="0"/>
              <w:right w:val="single" w:color="auto" w:sz="4" w:space="0"/>
            </w:tcBorders>
            <w:vAlign w:val="center"/>
          </w:tcPr>
          <w:p>
            <w:pPr>
              <w:adjustRightInd w:val="0"/>
              <w:snapToGrid w:val="0"/>
              <w:jc w:val="left"/>
              <w:rPr>
                <w:rFonts w:hint="default" w:ascii="Times New Roman" w:hAnsi="Times New Roman" w:cs="Times New Roman"/>
                <w:kern w:val="0"/>
                <w:sz w:val="21"/>
                <w:szCs w:val="21"/>
              </w:rPr>
            </w:pPr>
            <w:r>
              <w:rPr>
                <w:rFonts w:hint="default" w:ascii="Times New Roman" w:hAnsi="Times New Roman"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Cs w:val="21"/>
              </w:rPr>
            </w:pPr>
            <w:r>
              <w:rPr>
                <w:rFonts w:hint="default" w:ascii="Times New Roman" w:hAnsi="Times New Roman"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pPr>
              <w:adjustRightInd w:val="0"/>
              <w:snapToGrid w:val="0"/>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按补贴机具补贴额一览表及产品规定的配置、参数等验收</w:t>
            </w:r>
          </w:p>
        </w:tc>
      </w:tr>
      <w:tr>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hint="default" w:ascii="Times New Roman" w:hAnsi="Times New Roman" w:cs="Times New Roman"/>
                <w:kern w:val="0"/>
                <w:szCs w:val="21"/>
              </w:rPr>
            </w:pPr>
            <w:r>
              <w:rPr>
                <w:rFonts w:hint="default" w:ascii="Times New Roman" w:hAnsi="Times New Roman"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pPr>
              <w:adjustRightInd w:val="0"/>
              <w:snapToGrid w:val="0"/>
              <w:spacing w:line="280" w:lineRule="exact"/>
              <w:jc w:val="left"/>
              <w:rPr>
                <w:rFonts w:hint="default" w:ascii="Times New Roman" w:hAnsi="Times New Roman" w:cs="Times New Roman"/>
                <w:kern w:val="0"/>
                <w:sz w:val="21"/>
                <w:szCs w:val="21"/>
              </w:rPr>
            </w:pPr>
          </w:p>
        </w:tc>
        <w:tc>
          <w:tcPr>
            <w:tcW w:w="1223" w:type="dxa"/>
            <w:tcBorders>
              <w:top w:val="nil"/>
              <w:left w:val="single" w:color="auto" w:sz="4" w:space="0"/>
              <w:bottom w:val="nil"/>
              <w:right w:val="single" w:color="auto" w:sz="4" w:space="0"/>
            </w:tcBorders>
            <w:vAlign w:val="center"/>
          </w:tcPr>
          <w:p>
            <w:pPr>
              <w:adjustRightInd w:val="0"/>
              <w:snapToGrid w:val="0"/>
              <w:spacing w:line="280" w:lineRule="exact"/>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购机者</w:t>
            </w:r>
          </w:p>
          <w:p>
            <w:pPr>
              <w:adjustRightInd w:val="0"/>
              <w:snapToGrid w:val="0"/>
              <w:spacing w:line="280" w:lineRule="exact"/>
              <w:jc w:val="center"/>
              <w:rPr>
                <w:rFonts w:hint="default" w:ascii="Times New Roman" w:hAnsi="Times New Roman" w:cs="Times New Roman"/>
                <w:kern w:val="0"/>
                <w:sz w:val="21"/>
                <w:szCs w:val="21"/>
              </w:rPr>
            </w:pPr>
            <w:r>
              <w:rPr>
                <w:rFonts w:hint="default" w:ascii="Times New Roman" w:hAnsi="Times New Roman" w:cs="Times New Roman"/>
                <w:kern w:val="0"/>
                <w:sz w:val="21"/>
                <w:szCs w:val="21"/>
              </w:rPr>
              <w:t>签字</w:t>
            </w:r>
          </w:p>
        </w:tc>
        <w:tc>
          <w:tcPr>
            <w:tcW w:w="2518" w:type="dxa"/>
            <w:tcBorders>
              <w:top w:val="nil"/>
              <w:left w:val="single" w:color="auto" w:sz="4" w:space="0"/>
              <w:bottom w:val="nil"/>
              <w:right w:val="single" w:color="auto" w:sz="4" w:space="0"/>
            </w:tcBorders>
            <w:vAlign w:val="center"/>
          </w:tcPr>
          <w:p>
            <w:pPr>
              <w:adjustRightInd w:val="0"/>
              <w:snapToGrid w:val="0"/>
              <w:spacing w:line="280" w:lineRule="exact"/>
              <w:jc w:val="left"/>
              <w:rPr>
                <w:rFonts w:hint="default" w:ascii="Times New Roman" w:hAnsi="Times New Roman" w:cs="Times New Roman"/>
                <w:kern w:val="0"/>
                <w:sz w:val="21"/>
                <w:szCs w:val="21"/>
              </w:rPr>
            </w:pPr>
          </w:p>
        </w:tc>
      </w:tr>
      <w:tr>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hint="default" w:ascii="Times New Roman" w:hAnsi="Times New Roman" w:cs="Times New Roman"/>
                <w:kern w:val="0"/>
                <w:szCs w:val="21"/>
              </w:rPr>
            </w:pPr>
            <w:r>
              <w:rPr>
                <w:rFonts w:hint="default" w:ascii="Times New Roman" w:hAnsi="Times New Roman" w:cs="Times New Roman"/>
                <w:kern w:val="0"/>
                <w:sz w:val="21"/>
                <w:szCs w:val="21"/>
              </w:rPr>
              <w:t>乡镇农业农村主管部门形式核实意见</w:t>
            </w:r>
          </w:p>
          <w:p>
            <w:pPr>
              <w:adjustRightInd w:val="0"/>
              <w:snapToGrid w:val="0"/>
              <w:spacing w:line="280" w:lineRule="exact"/>
              <w:jc w:val="center"/>
              <w:rPr>
                <w:rFonts w:hint="default" w:ascii="Times New Roman" w:hAnsi="Times New Roman" w:cs="Times New Roman"/>
                <w:kern w:val="0"/>
                <w:szCs w:val="21"/>
              </w:rPr>
            </w:pPr>
            <w:r>
              <w:rPr>
                <w:rFonts w:hint="default" w:ascii="Times New Roman" w:hAnsi="Times New Roman"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spacing w:line="280" w:lineRule="exact"/>
              <w:rPr>
                <w:rFonts w:hint="default" w:ascii="Times New Roman" w:hAnsi="Times New Roman" w:cs="Times New Roman"/>
                <w:kern w:val="0"/>
                <w:sz w:val="21"/>
                <w:szCs w:val="21"/>
              </w:rPr>
            </w:pPr>
            <w:r>
              <w:rPr>
                <w:rFonts w:hint="default" w:ascii="Times New Roman" w:hAnsi="Times New Roman" w:cs="Times New Roman"/>
                <w:kern w:val="0"/>
                <w:sz w:val="21"/>
                <w:szCs w:val="21"/>
              </w:rPr>
              <w:t>合格（   ）   不合格（   ）    签字盖章</w:t>
            </w:r>
          </w:p>
        </w:tc>
      </w:tr>
    </w:tbl>
    <w:p>
      <w:pPr>
        <w:adjustRightInd w:val="0"/>
        <w:snapToGrid w:val="0"/>
        <w:spacing w:line="480" w:lineRule="exact"/>
        <w:jc w:val="left"/>
        <w:rPr>
          <w:rFonts w:hint="default" w:ascii="Times New Roman" w:hAnsi="Times New Roman" w:cs="Times New Roman"/>
        </w:rPr>
      </w:pPr>
      <w:r>
        <w:rPr>
          <w:rFonts w:hint="default" w:ascii="Times New Roman" w:hAnsi="Times New Roman" w:cs="Times New Roman"/>
          <w:b/>
          <w:kern w:val="0"/>
          <w:sz w:val="24"/>
        </w:rPr>
        <w:t>注：</w:t>
      </w:r>
      <w:r>
        <w:rPr>
          <w:rFonts w:hint="default" w:ascii="Times New Roman" w:hAnsi="Times New Roman" w:cs="Times New Roman"/>
          <w:kern w:val="0"/>
          <w:sz w:val="24"/>
        </w:rPr>
        <w:t>县农业农村局对补贴机具安装确认事项提供必要的技术支持。对专业要求较高的补贴产品可委托社会专业机构核实并经县农业农村局确认。</w:t>
      </w:r>
    </w:p>
    <w:p>
      <w:pPr>
        <w:rPr>
          <w:rFonts w:hint="default" w:ascii="Times New Roman" w:hAnsi="Times New Roman" w:cs="Times New Roman"/>
        </w:rPr>
        <w:sectPr>
          <w:headerReference r:id="rId3" w:type="default"/>
          <w:footerReference r:id="rId5" w:type="default"/>
          <w:headerReference r:id="rId4" w:type="even"/>
          <w:footerReference r:id="rId6" w:type="even"/>
          <w:pgSz w:w="11906" w:h="16838"/>
          <w:pgMar w:top="2098" w:right="1588" w:bottom="2098" w:left="1588" w:header="851" w:footer="1701" w:gutter="0"/>
          <w:cols w:space="720" w:num="1"/>
          <w:docGrid w:type="linesAndChars" w:linePitch="574" w:charSpace="-1683"/>
        </w:sectPr>
      </w:pPr>
    </w:p>
    <w:p>
      <w:pPr>
        <w:spacing w:line="560" w:lineRule="exact"/>
        <w:rPr>
          <w:rFonts w:hint="default" w:ascii="Times New Roman" w:hAnsi="Times New Roman" w:eastAsia="方正黑体_GBK" w:cs="Times New Roman"/>
        </w:rPr>
      </w:pPr>
      <w:r>
        <w:rPr>
          <w:rFonts w:hint="default" w:ascii="Times New Roman" w:hAnsi="Times New Roman" w:eastAsia="方正黑体_GBK" w:cs="Times New Roman"/>
        </w:rPr>
        <w:t>附件3</w:t>
      </w:r>
    </w:p>
    <w:p>
      <w:pPr>
        <w:spacing w:line="560" w:lineRule="exact"/>
        <w:rPr>
          <w:rFonts w:hint="default" w:ascii="Times New Roman" w:hAnsi="Times New Roman" w:cs="Times New Roman"/>
        </w:rPr>
      </w:pPr>
    </w:p>
    <w:p>
      <w:pPr>
        <w:spacing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江苏省农机购置与应用补贴相关职责</w:t>
      </w:r>
    </w:p>
    <w:p>
      <w:pPr>
        <w:spacing w:line="560" w:lineRule="exact"/>
        <w:jc w:val="center"/>
        <w:rPr>
          <w:rFonts w:hint="default" w:ascii="Times New Roman" w:hAnsi="Times New Roman" w:eastAsia="方正楷体_GBK" w:cs="Times New Roman"/>
          <w:szCs w:val="32"/>
        </w:rPr>
      </w:pP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一、省级农业农村、财政部门主要职责</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（一）省农业农村部门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1．会同省财政部门制定全省农机购置与应用补贴实施意见、补贴额一览表，组织全省实施。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2．组织机具投档。</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3．组织对高风险机具开展现场演示评价或验证。探索补贴机具适应性评价制度，组织抽取部分机具进行适应性评价。</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4．加强对全省农机购置与应用补贴相关信息系统管理，确保补贴系统安全规范高效运行。</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5．做好补贴政策宣传，组织信息公开工作。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6．组织开展业务培训和廉政警示教育。</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7．健全完善风险防控制度和内部控制规程，组织做好补贴异常情形报告、咨询投诉和违规调查处理工作。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8．加强绩效管理，组织开展监督检查。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9．会同省财政部门按要求严格控制累加补贴。</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10．会同有关部门加强对农机鉴定工作的组织领导。</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（二）省财政部门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1．履行法定支出责任，积极配套省级财政资金。</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2．会同省农业农村部门按照有关规定做好资金需求摸底、测算分配等工作，加强资金使用情况监测，按需开展市县余缺调剂。</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3．督促和指导基层财政部门做好补贴资金兑付。</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4．加强补贴资金监管。</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5．保障补贴工作实施必要的组织管理经费，包括政策实施绩效考核、机具核验、信息化建设、第三方抽查核验等工作经费。</w:t>
      </w: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二、设区市农业农村、财政部门主要职责</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（一）设区市农业农村部门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1．加强对县级制定农机购置与应用补贴实施工作方案、内控制度等指导审核，并组织实施。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2．加强对本地区农机购置与应用补贴相关信息系统管理，确保补贴系统安全规范高效运行。</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3．加大补贴政策宣传力度，组织全市做好信息公开工作。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4．组织开展业务培训和廉政警示教育。</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5．健全完善风险防控制度和内部控制规程，组织做好补贴异常情形报告、咨询投诉和违规调查处理等工作。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6．加强绩效管理，会同财政部门每年对县级补贴实施过程至少组织2次专项检查。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7．探索补贴机具适应性评价制度，对县级年度补贴机具适应性评价报告进行审核。</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8．会同设区市财政部门按要求严格控制累加补贴。</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9．各设区市可根据实际，确定有关机具喷印监督标识。</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（二）设区市财政部门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1．会同市农业农村部门按照有关规定测算分配资金，加强资金使用情况监测，按需开展市辖区余缺调剂。</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2．督促和指导基层财政部门做好补贴资金兑付。</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3．加强补贴资金监管。</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4．保障补贴工作实施必要的组织管理经费，包括政策实施绩效考核、机具核验、信息化建设、第三方抽查核验等工作经费。</w:t>
      </w: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三、县级农业农村、财政部门主要职责</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（一）县级农业农村部门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1．会同县级财政部门制定农机购置与应用补贴实施工作方案，并组织实施。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2．加强对本县域农机购置与应用补贴相关信息系统管理；确保补贴系统高效规范安全运行。</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3．加大补贴政策宣传力度，做好信息公开工作。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4．组织开展县乡补贴工作人员业务培训和廉政警示教育。</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5．对补贴申请资料进行审核公示，向县级财政部门提交资金兑付申请与有关材料，确保按规定时限办理。</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7．健全完善风险防控制度和内部控制规程，组织做好补贴异常情形报告、咨询投诉和违规调查处理等工作。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8．加强绩效管理，做好补贴政策实施总结。</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9．探索补贴机具适应性评价制度，对本辖区内新进品牌机具进行适应性评价，形成评价报告。</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10．会同县级财政部门按要求严格控制累加补贴。</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11．会同有关部门加强对补贴机具经销企业监管，重点检查参与补贴政策实施的责任义务履行和承诺践诺情况，加大违法违规警示教育宣传。</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12．做好补贴档案材料整理保管工作，按要求报送政策实施情况和工作总结。</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（二）县级财政部门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1．做到补贴资金专款专用，确保资金安全。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2．按规定向符合要求的购机者兑付补贴资金，将兑付情况及时反馈县级农业农村部门。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3．因资金不足或违法违规处理等原因需要延期兑付的，会同农业农村部门做细政策解读，告知并稳定购机者预期，同时联合向上报告资金供需情况。</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4．加强补贴资金监管。</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5．保障补贴工作实施必要的组织管理经费，包括政策实施绩效考核、机具核验、信息化建设、第三方抽查核验等工作经费。</w:t>
      </w: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四、乡镇农业农村部门主要职责</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1．健全完善风险防控制度和内部控制规程，做好补贴异常情形报告、咨询投诉和违规调查等工作。</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2．做好政策宣传，受理购机者提交的补贴申请。</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3．按要求对补贴相关申请资料进行审核，对补贴机具进行核验；鼓励探索多种核验方式，提高补贴机具核验水平。重点对鼓励在乡村或补贴申请点公示栏中同时公开公示信息。</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5．对本地当年新增品目机具在农时作业季节进行延伸跟踪评价，发现异常情况及时书面上报。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6．做好补贴政策实施过程中相关材料的收集、整理和归档工作。</w:t>
      </w: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五、补贴机具生产、经销企业主要职责</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（一）补贴机具生产企业</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1．遵守农机购置与应用补贴政策相关规定，合法合规经营，不得有骗补、套补违法违规行为。</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2．按照投档要求，通过农机购置与应用补贴机具信息化自主投档平台真实、准确投档，加强投档信息审核，不超范围投送产品、低档高投等造成品目和档次错误。</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3．自主确定和公布补贴产品经销企业，指导监督授权经销企业遵守补贴政策各项规定，并对经销企业的违规行为承担连带责任。</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4．正确宣传农机购置与应用补贴政策，供应符合规定的农机产品，自觉抵制和积极配合主管部门整治违规产品各种行业乱象，规范真实使用补贴产品标志标识。</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5．持续强化以质量保障能力为核心的工厂条件建设，确保出厂的每一件产品与鉴定（认证）和检测的样机保持一致。</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6．将补贴机具销售、售后服务、退换机等管理系统互联互通，定期与农机购置与应用补贴申请办理服务系统中本企业数据相互校核，筛查机具、补贴、所有人、使用人等信息是否相符相适。</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7．通过非现金方式与经销商结算补贴机具购机款，确保资金往来全程留痕备查。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8．对经销商出具给农民和农业生产经营组织的发票、合格证等补贴申请资料和牌证申领资料进行核对，筛查补贴比例、发票金额、机具信息等是否真实有效、符合规定。</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10．严格执行农机产销企业参与江苏省农机购置与应用补贴政策实施承诺制，主动报告异常情况，及时采取防范补救措施。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11．承担违反政策规定所引起的纠纷和经济损失等后果，主动退回违规行为涉及的补贴资金，接受主管部门处理。</w:t>
      </w:r>
    </w:p>
    <w:p>
      <w:pPr>
        <w:spacing w:line="560" w:lineRule="exact"/>
        <w:ind w:firstLine="640" w:firstLineChars="200"/>
        <w:rPr>
          <w:rFonts w:hint="default" w:ascii="Times New Roman" w:hAnsi="Times New Roman" w:eastAsia="方正楷体_GBK" w:cs="Times New Roman"/>
        </w:rPr>
      </w:pPr>
      <w:r>
        <w:rPr>
          <w:rFonts w:hint="default" w:ascii="Times New Roman" w:hAnsi="Times New Roman" w:eastAsia="方正楷体_GBK" w:cs="Times New Roman"/>
        </w:rPr>
        <w:t>（二）补贴机具经销企业</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1．遵守农机购置与应用补贴政策相关规定，合法合规经营，不组织、不参与骗套补贴违法违规行为。</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2．正确宣传农机购置与应用补贴政策，供应符合规定的农机产品，自觉抵制和积极配合主管部门整治违规产品各种行业乱象，开具金额与实际销售价格相符的发票。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3．规范真实使用补贴产品标志标识，按要求喷印监督标识，做好售后服务。</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4．协助做好补贴机具的安装、验收等工作，指导帮助购机者通过手机APP录入补贴申请信息，严禁代替购机者到主管部门办理补贴申请手续。</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5．通过非现金方式与生产企业结算补贴机具购机款，确保资金往来全程留痕备查。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6．台账资料完整规范，主动接受农业农村、财政等部门检查。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7．对购机者符合规定的退（换）货要求，首先确认购机者尚未领取补贴或已将领取的补贴退回财政部门后，再为其办理退（换）货，并主动报告当地农业农村部门、财政部门。</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8．严格执行农机产销企业参与江苏省农机购置补贴政策实施承诺制，主动报告异常情形，及时采取防范补救措施。</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9．承担违反政策规定所引起的纠纷和经济损失等后果，主动退回违规行为涉及的补贴资金，接受主管部门处理。</w:t>
      </w:r>
    </w:p>
    <w:p>
      <w:pPr>
        <w:spacing w:line="560" w:lineRule="exact"/>
        <w:ind w:firstLine="640" w:firstLineChars="200"/>
        <w:rPr>
          <w:rFonts w:hint="default" w:ascii="Times New Roman" w:hAnsi="Times New Roman" w:eastAsia="方正黑体_GBK" w:cs="Times New Roman"/>
        </w:rPr>
      </w:pPr>
      <w:r>
        <w:rPr>
          <w:rFonts w:hint="default" w:ascii="Times New Roman" w:hAnsi="Times New Roman" w:eastAsia="方正黑体_GBK" w:cs="Times New Roman"/>
        </w:rPr>
        <w:t>六、购机者主要职责</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2．购置牌证管理机具的，按规定先行办理牌证手续。</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3．自主向当地农业农村部门提出补贴资金申领事项，签署告知承诺书，承诺购买行为、发票购机价格等信息真实有效，按相关规定申办补贴。</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4．在申请补贴时提供包括转账付款记录在内的申请资料，对提供申请资料的真实性负责。</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5．配合农业农村、财政等部门办理机具核验和抽查。</w:t>
      </w:r>
    </w:p>
    <w:p>
      <w:pPr>
        <w:spacing w:line="560" w:lineRule="exact"/>
        <w:ind w:firstLine="640" w:firstLineChars="200"/>
        <w:rPr>
          <w:rFonts w:hint="default" w:ascii="Times New Roman" w:hAnsi="Times New Roman" w:cs="Times New Roman"/>
        </w:rPr>
      </w:pPr>
      <w:r>
        <w:rPr>
          <w:rFonts w:hint="default" w:ascii="Times New Roman" w:hAnsi="Times New Roman" w:cs="Times New Roman"/>
        </w:rPr>
        <w:t>6．主动向当地农业农村部门报告发现的相关异常情况。如违反承诺及补贴政策有关要求，自愿接受处理并承担损失。</w:t>
      </w:r>
    </w:p>
    <w:p>
      <w:pPr>
        <w:spacing w:line="560" w:lineRule="exact"/>
        <w:rPr>
          <w:rFonts w:hint="default" w:ascii="Times New Roman" w:hAnsi="Times New Roman" w:cs="Times New Roman"/>
        </w:rPr>
      </w:pPr>
    </w:p>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posOffset>4832350</wp:posOffset>
              </wp:positionH>
              <wp:positionV relativeFrom="paragraph">
                <wp:posOffset>-12700</wp:posOffset>
              </wp:positionV>
              <wp:extent cx="1828800" cy="1828800"/>
              <wp:effectExtent l="0" t="0" r="0" b="0"/>
              <wp:wrapNone/>
              <wp:docPr id="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15</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left:380.5pt;margin-top:-1pt;height:144pt;width:144pt;mso-position-horizontal-relative:margin;mso-wrap-style:none;z-index:251659264;mso-width-relative:page;mso-height-relative:page;" filled="f" stroked="f" coordsize="21600,21600" o:gfxdata="UEsDBAoAAAAAAIdO4kAAAAAAAAAAAAAAAAAEAAAAZHJzL1BLAwQUAAAACACHTuJAff9UEtYAAAAL&#10;AQAADwAAAGRycy9kb3ducmV2LnhtbE2PzU7DMBCE70i8g7VI3Fo7EQohxOmhEhduFITUmxtv4wj/&#10;RLabJm/P9gSn3dWMZr9pd4uzbMaYxuAlFFsBDH0f9OgHCV+fb5saWMrKa2WDRwkrJth193etanS4&#10;+g+cD3lgFOJToySYnKeG89QbdCptw4SetHOITmU648B1VFcKd5aXQlTcqdHTB6Mm3Bvsfw4XJ+F5&#10;+Q44Jdzj8Tz30Yxrbd9XKR8fCvEKLOOS/8xwwyd06IjpFC5eJ2YpoyqoS5awKWneDOLphbaThLKu&#10;BPCu5f87dL9QSwMEFAAAAAgAh07iQDdRHpnLAQAAlgMAAA4AAABkcnMvZTJvRG9jLnhtbK1TzY7T&#10;MBC+I/EOlu802cKiEtVdgapFSAiQFh7AdezGkv/kcZv0BeANOHHhznP1OXbsJF20XPbAxZnxjL+Z&#10;75vJ+mawhhxlBO0do1eLmhLphG+12zP67evtixUlkLhrufFOMnqSQG82z5+t+9DIpe+8aWUkCOKg&#10;6QOjXUqhqSoQnbQcFj5Ih0Hlo+UJ3biv2sh7RLemWtb166r3sQ3RCwmAt9sxSCfE+BRAr5QWcuvF&#10;wUqXRtQoDU9ICTodgG5Kt0pJkT4rBTIRwygyTeXEImjv8llt1rzZRx46LaYW+FNaeMTJcu2w6AVq&#10;yxMnh6j/gbJaRA9epYXwthqJFEWQxVX9SJu7jgdZuKDUEC6iw/+DFZ+OXyLRLaOvKHHc4sDPP3+c&#10;f/05//5OXmZ5+gANZt0FzEvDOz/g0sz3gJeZ9aCizV/kQzCO4p4u4sohEZEfrZarVY0hgbHZQfzq&#10;4XmIkN5Lb0k2GI04vSIqP36ENKbOKbma87famDJB40jP6Jvr5XV5cIkguHFYI5MYm81WGnbDxGzn&#10;2xMS63EDGHW48JSYDw4FzssyG3E2dpORq0N4e0jYQWkso45QUzEcV6E2rVbeh7/9kvXwO23u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H3/VBLWAAAACwEAAA8AAAAAAAAAAQAgAAAAIgAAAGRycy9k&#10;b3ducmV2LnhtbFBLAQIUABQAAAAIAIdO4kA3UR6ZywEAAJYDAAAOAAAAAAAAAAEAIAAAACUBAABk&#10;cnMvZTJvRG9jLnhtbFBLBQYAAAAABgAGAFkBAABiBQAAAAA=&#10;">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15</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posOffset>196850</wp:posOffset>
              </wp:positionH>
              <wp:positionV relativeFrom="paragraph">
                <wp:posOffset>-57150</wp:posOffset>
              </wp:positionV>
              <wp:extent cx="1828800" cy="1828800"/>
              <wp:effectExtent l="0" t="0" r="0" b="0"/>
              <wp:wrapNone/>
              <wp:docPr id="5"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22</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4" o:spid="_x0000_s1026" o:spt="202" type="#_x0000_t202" style="position:absolute;left:0pt;margin-left:15.5pt;margin-top:-4.5pt;height:144pt;width:144pt;mso-position-horizontal-relative:margin;mso-wrap-style:none;z-index:251660288;mso-width-relative:page;mso-height-relative:page;" filled="f" stroked="f" coordsize="21600,21600" o:gfxdata="UEsDBAoAAAAAAIdO4kAAAAAAAAAAAAAAAAAEAAAAZHJzL1BLAwQUAAAACACHTuJAAIyZ+9UAAAAJ&#10;AQAADwAAAGRycy9kb3ducmV2LnhtbE2PMU/DMBCFd6T+B+sqsbVOWomWEKdDJRY2CkJic+NrHGGf&#10;I9tNk3/PdYLp3umd3n2vPkzeiRFj6gMpKNcFCKQ2mJ46BZ8fr6s9iJQ1Ge0CoYIZExyaxUOtKxNu&#10;9I7jKXeCQyhVWoHNeaikTK1Fr9M6DEjsXUL0OvMaO2mivnG4d3JTFE/S6574g9UDHi22P6erV7Cb&#10;vgIOCY/4fRnbaPt5795mpR6XZfECIuOU/47hjs/o0DDTOVzJJOEUbEuukhWsnnmyvy3v4qxgs2Mh&#10;m1r+b9D8AlBLAwQUAAAACACHTuJA5VfigMoBAACWAwAADgAAAGRycy9lMm9Eb2MueG1srVPNjtMw&#10;EL4j8Q6W7zTZiqIS1V2BqkVICJAWHsB17MaS/+Rxm/QF4A04ceHOc/U5GDtJFy2XPXBxZjzjb+b7&#10;ZrK5HawhJxlBe8fozaKmRDrhW+0OjH79cvdiTQkk7lpuvJOMniXQ2+3zZ5s+NHLpO29aGQmCOGj6&#10;wGiXUmiqCkQnLYeFD9JhUPloeUI3Hqo28h7RramWdf2q6n1sQ/RCAuDtbgzSCTE+BdArpYXceXG0&#10;0qURNUrDE1KCTgeg29KtUlKkT0qBTMQwikxTObEI2vt8VtsNbw6Rh06LqQX+lBYecbJcOyx6hdrx&#10;xMkx6n+grBbRg1dpIbytRiJFEWRxUz/S5r7jQRYuKDWEq+jw/2DFx9PnSHTL6IoSxy0O/PLj++Xn&#10;78uvb+RllqcP0GDWfcC8NLz1Ay7NfA94mVkPKtr8RT4E4yju+SquHBIR+dF6uV7XGBIYmx3Erx6e&#10;hwjpnfSWZIPRiNMrovLTB0hj6pySqzl/p40pEzSO9Iy+Xi1X5cE1guDGYY1MYmw2W2nYDxOzvW/P&#10;SKzHDWDU4cJTYt47FDgvy2zE2dhPRq4O4c0xYQelsYw6Qk3FcFyF2rRaeR/+9kvWw++0/Q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AjJn71QAAAAkBAAAPAAAAAAAAAAEAIAAAACIAAABkcnMvZG93&#10;bnJldi54bWxQSwECFAAUAAAACACHTuJA5VfigMoBAACWAwAADgAAAAAAAAABACAAAAAkAQAAZHJz&#10;L2Uyb0RvYy54bWxQSwUGAAAAAAYABgBZAQAAYAUAAAAA&#10;">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22</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80F16CE"/>
    <w:rsid w:val="00046CCD"/>
    <w:rsid w:val="00075DAB"/>
    <w:rsid w:val="00281E6E"/>
    <w:rsid w:val="004B6622"/>
    <w:rsid w:val="005C5FCB"/>
    <w:rsid w:val="005D166E"/>
    <w:rsid w:val="006943BB"/>
    <w:rsid w:val="00714914"/>
    <w:rsid w:val="00853C3A"/>
    <w:rsid w:val="00896882"/>
    <w:rsid w:val="00997420"/>
    <w:rsid w:val="00A90811"/>
    <w:rsid w:val="00A970FC"/>
    <w:rsid w:val="00BA2631"/>
    <w:rsid w:val="00C03F7E"/>
    <w:rsid w:val="00CE3A12"/>
    <w:rsid w:val="00D1574F"/>
    <w:rsid w:val="00E2160F"/>
    <w:rsid w:val="00EB7F9F"/>
    <w:rsid w:val="00EC45D6"/>
    <w:rsid w:val="00F71964"/>
    <w:rsid w:val="00F90B89"/>
    <w:rsid w:val="01027B0E"/>
    <w:rsid w:val="016010A6"/>
    <w:rsid w:val="019D15CF"/>
    <w:rsid w:val="01BC13BD"/>
    <w:rsid w:val="01C226CB"/>
    <w:rsid w:val="021C17C9"/>
    <w:rsid w:val="029F5F7F"/>
    <w:rsid w:val="02B65EB9"/>
    <w:rsid w:val="037F0F48"/>
    <w:rsid w:val="038E472F"/>
    <w:rsid w:val="03D609D8"/>
    <w:rsid w:val="043C7A69"/>
    <w:rsid w:val="04922DD9"/>
    <w:rsid w:val="04BC6C90"/>
    <w:rsid w:val="056968BF"/>
    <w:rsid w:val="05C46791"/>
    <w:rsid w:val="05E11DE6"/>
    <w:rsid w:val="05F8016A"/>
    <w:rsid w:val="06021ED4"/>
    <w:rsid w:val="06164909"/>
    <w:rsid w:val="06257458"/>
    <w:rsid w:val="068C3E93"/>
    <w:rsid w:val="069E6CD7"/>
    <w:rsid w:val="06A65CED"/>
    <w:rsid w:val="06E35649"/>
    <w:rsid w:val="074A4197"/>
    <w:rsid w:val="075A73D1"/>
    <w:rsid w:val="08254F43"/>
    <w:rsid w:val="08846954"/>
    <w:rsid w:val="08FF094D"/>
    <w:rsid w:val="09727371"/>
    <w:rsid w:val="09976C2E"/>
    <w:rsid w:val="09DB6D58"/>
    <w:rsid w:val="0A49597F"/>
    <w:rsid w:val="0C1F62E2"/>
    <w:rsid w:val="0C6D1BCF"/>
    <w:rsid w:val="0C9871A4"/>
    <w:rsid w:val="0CE34776"/>
    <w:rsid w:val="0CE94366"/>
    <w:rsid w:val="0CF431DD"/>
    <w:rsid w:val="0D0504FC"/>
    <w:rsid w:val="0D7909CB"/>
    <w:rsid w:val="0DA33F9D"/>
    <w:rsid w:val="0DC752EA"/>
    <w:rsid w:val="0DEF2209"/>
    <w:rsid w:val="0E90466A"/>
    <w:rsid w:val="0F19496E"/>
    <w:rsid w:val="0F572E0E"/>
    <w:rsid w:val="0F833B1B"/>
    <w:rsid w:val="11824684"/>
    <w:rsid w:val="11DD3422"/>
    <w:rsid w:val="11E92055"/>
    <w:rsid w:val="12642B37"/>
    <w:rsid w:val="13976E1D"/>
    <w:rsid w:val="13A06395"/>
    <w:rsid w:val="14257774"/>
    <w:rsid w:val="14463E89"/>
    <w:rsid w:val="146E0920"/>
    <w:rsid w:val="14914720"/>
    <w:rsid w:val="14E60D6C"/>
    <w:rsid w:val="154D2F94"/>
    <w:rsid w:val="15A0700C"/>
    <w:rsid w:val="15DB004C"/>
    <w:rsid w:val="160E6673"/>
    <w:rsid w:val="1622228F"/>
    <w:rsid w:val="163A7468"/>
    <w:rsid w:val="169301DC"/>
    <w:rsid w:val="16A27FD2"/>
    <w:rsid w:val="16C46F62"/>
    <w:rsid w:val="16F0007C"/>
    <w:rsid w:val="17C51B33"/>
    <w:rsid w:val="18346BDD"/>
    <w:rsid w:val="18537CB3"/>
    <w:rsid w:val="187B4CAA"/>
    <w:rsid w:val="18E37A94"/>
    <w:rsid w:val="18F71D3C"/>
    <w:rsid w:val="199879F3"/>
    <w:rsid w:val="1ACC692C"/>
    <w:rsid w:val="1AE92059"/>
    <w:rsid w:val="1B6116D9"/>
    <w:rsid w:val="1B7D47A7"/>
    <w:rsid w:val="1B956418"/>
    <w:rsid w:val="1CB97D7A"/>
    <w:rsid w:val="1D206904"/>
    <w:rsid w:val="1D2858BA"/>
    <w:rsid w:val="1D7F17A4"/>
    <w:rsid w:val="1DA816BB"/>
    <w:rsid w:val="1DDA4B34"/>
    <w:rsid w:val="1E7A7121"/>
    <w:rsid w:val="1EF41995"/>
    <w:rsid w:val="1F2627D7"/>
    <w:rsid w:val="1F980B26"/>
    <w:rsid w:val="1FA94802"/>
    <w:rsid w:val="1FBE01A8"/>
    <w:rsid w:val="20783B95"/>
    <w:rsid w:val="207F7C81"/>
    <w:rsid w:val="210E39CB"/>
    <w:rsid w:val="22840C99"/>
    <w:rsid w:val="231057D9"/>
    <w:rsid w:val="235C5B4A"/>
    <w:rsid w:val="2451380C"/>
    <w:rsid w:val="245C2B2A"/>
    <w:rsid w:val="24C525F3"/>
    <w:rsid w:val="25025D04"/>
    <w:rsid w:val="25422B16"/>
    <w:rsid w:val="258F6B24"/>
    <w:rsid w:val="26307F84"/>
    <w:rsid w:val="26580D18"/>
    <w:rsid w:val="267D2BA1"/>
    <w:rsid w:val="26D25CE7"/>
    <w:rsid w:val="26F452B6"/>
    <w:rsid w:val="274243CE"/>
    <w:rsid w:val="27E51549"/>
    <w:rsid w:val="28A75B68"/>
    <w:rsid w:val="2A4C6E00"/>
    <w:rsid w:val="2A69575B"/>
    <w:rsid w:val="2AB713D4"/>
    <w:rsid w:val="2B707F6F"/>
    <w:rsid w:val="2B746F3F"/>
    <w:rsid w:val="2B9C37F8"/>
    <w:rsid w:val="2C6F551A"/>
    <w:rsid w:val="2CEB4AC2"/>
    <w:rsid w:val="2D1D6106"/>
    <w:rsid w:val="2D4F089F"/>
    <w:rsid w:val="2D6F7269"/>
    <w:rsid w:val="2D8524CC"/>
    <w:rsid w:val="2F1055D5"/>
    <w:rsid w:val="301A5EE8"/>
    <w:rsid w:val="307E784B"/>
    <w:rsid w:val="309D08C8"/>
    <w:rsid w:val="30E30B17"/>
    <w:rsid w:val="310D3357"/>
    <w:rsid w:val="31212476"/>
    <w:rsid w:val="31295CB7"/>
    <w:rsid w:val="315E2E7B"/>
    <w:rsid w:val="317F1AC7"/>
    <w:rsid w:val="319438AF"/>
    <w:rsid w:val="31F519BF"/>
    <w:rsid w:val="321626E0"/>
    <w:rsid w:val="321D0098"/>
    <w:rsid w:val="32962C3F"/>
    <w:rsid w:val="331767CD"/>
    <w:rsid w:val="34326BEB"/>
    <w:rsid w:val="34441786"/>
    <w:rsid w:val="34466FCC"/>
    <w:rsid w:val="345F421C"/>
    <w:rsid w:val="34D15484"/>
    <w:rsid w:val="34F605A6"/>
    <w:rsid w:val="35914B96"/>
    <w:rsid w:val="36FC766B"/>
    <w:rsid w:val="3705625B"/>
    <w:rsid w:val="37820B54"/>
    <w:rsid w:val="378D6D31"/>
    <w:rsid w:val="37AA7FBD"/>
    <w:rsid w:val="37BF693B"/>
    <w:rsid w:val="37DD047C"/>
    <w:rsid w:val="37FA3BF5"/>
    <w:rsid w:val="3875772B"/>
    <w:rsid w:val="38CE4D5E"/>
    <w:rsid w:val="391E72A9"/>
    <w:rsid w:val="39A34E55"/>
    <w:rsid w:val="39B870F4"/>
    <w:rsid w:val="3A5E2E76"/>
    <w:rsid w:val="3B0E2065"/>
    <w:rsid w:val="3B262D72"/>
    <w:rsid w:val="3B39298F"/>
    <w:rsid w:val="3B7510D5"/>
    <w:rsid w:val="3C421CC4"/>
    <w:rsid w:val="3D405F3D"/>
    <w:rsid w:val="3DBA4DFD"/>
    <w:rsid w:val="3DC11D96"/>
    <w:rsid w:val="3DD62BD5"/>
    <w:rsid w:val="3E1354C5"/>
    <w:rsid w:val="3EA7486E"/>
    <w:rsid w:val="3EC55271"/>
    <w:rsid w:val="3FA31F47"/>
    <w:rsid w:val="40402666"/>
    <w:rsid w:val="41270465"/>
    <w:rsid w:val="416A0352"/>
    <w:rsid w:val="41924A76"/>
    <w:rsid w:val="419A73C7"/>
    <w:rsid w:val="41AA2E44"/>
    <w:rsid w:val="42845443"/>
    <w:rsid w:val="42F4714A"/>
    <w:rsid w:val="42F77528"/>
    <w:rsid w:val="430F401F"/>
    <w:rsid w:val="4321663E"/>
    <w:rsid w:val="43BB19FD"/>
    <w:rsid w:val="44613510"/>
    <w:rsid w:val="44883EE0"/>
    <w:rsid w:val="44B82E9F"/>
    <w:rsid w:val="44D84BB3"/>
    <w:rsid w:val="44F3478D"/>
    <w:rsid w:val="45780BBF"/>
    <w:rsid w:val="45B13967"/>
    <w:rsid w:val="45CD5A34"/>
    <w:rsid w:val="46120A6E"/>
    <w:rsid w:val="46641083"/>
    <w:rsid w:val="469A36DD"/>
    <w:rsid w:val="46B800D2"/>
    <w:rsid w:val="46EE10DD"/>
    <w:rsid w:val="47C667DA"/>
    <w:rsid w:val="480F16CE"/>
    <w:rsid w:val="48277D48"/>
    <w:rsid w:val="48BF30E0"/>
    <w:rsid w:val="49573590"/>
    <w:rsid w:val="49737CD5"/>
    <w:rsid w:val="4A521870"/>
    <w:rsid w:val="4AAB50D4"/>
    <w:rsid w:val="4AB62A0D"/>
    <w:rsid w:val="4AB71F62"/>
    <w:rsid w:val="4ACC6635"/>
    <w:rsid w:val="4AFC4E2D"/>
    <w:rsid w:val="4B471D73"/>
    <w:rsid w:val="4B9E041A"/>
    <w:rsid w:val="4BE4205A"/>
    <w:rsid w:val="4BE638F8"/>
    <w:rsid w:val="4C214B5F"/>
    <w:rsid w:val="4CE459D7"/>
    <w:rsid w:val="4DC57946"/>
    <w:rsid w:val="4DE31A1F"/>
    <w:rsid w:val="4E063041"/>
    <w:rsid w:val="4E645AE0"/>
    <w:rsid w:val="4EA55A22"/>
    <w:rsid w:val="4FE173DE"/>
    <w:rsid w:val="514420BB"/>
    <w:rsid w:val="52611B8E"/>
    <w:rsid w:val="527132A4"/>
    <w:rsid w:val="533E1115"/>
    <w:rsid w:val="53552F00"/>
    <w:rsid w:val="53ED211E"/>
    <w:rsid w:val="5469420B"/>
    <w:rsid w:val="55435E9C"/>
    <w:rsid w:val="55741347"/>
    <w:rsid w:val="55AD1EB7"/>
    <w:rsid w:val="55B62041"/>
    <w:rsid w:val="55C63153"/>
    <w:rsid w:val="55C82454"/>
    <w:rsid w:val="56F61F80"/>
    <w:rsid w:val="570D37B1"/>
    <w:rsid w:val="574836FE"/>
    <w:rsid w:val="578F2469"/>
    <w:rsid w:val="579A03D5"/>
    <w:rsid w:val="58605571"/>
    <w:rsid w:val="58692CBA"/>
    <w:rsid w:val="58821818"/>
    <w:rsid w:val="59A541C5"/>
    <w:rsid w:val="59FA771C"/>
    <w:rsid w:val="5A3612C1"/>
    <w:rsid w:val="5ABD68A7"/>
    <w:rsid w:val="5B8107A7"/>
    <w:rsid w:val="5C563555"/>
    <w:rsid w:val="5C7C4408"/>
    <w:rsid w:val="5CBC45EA"/>
    <w:rsid w:val="5D991FBD"/>
    <w:rsid w:val="5DFA2A95"/>
    <w:rsid w:val="5E583BB8"/>
    <w:rsid w:val="5E930A90"/>
    <w:rsid w:val="5EFD256B"/>
    <w:rsid w:val="5F053A70"/>
    <w:rsid w:val="5F28430A"/>
    <w:rsid w:val="5F5D36D1"/>
    <w:rsid w:val="5F694C87"/>
    <w:rsid w:val="5FD41360"/>
    <w:rsid w:val="60550CAC"/>
    <w:rsid w:val="606F6E04"/>
    <w:rsid w:val="61800E6C"/>
    <w:rsid w:val="61B52ACC"/>
    <w:rsid w:val="61C37CB6"/>
    <w:rsid w:val="62214605"/>
    <w:rsid w:val="6263785D"/>
    <w:rsid w:val="62CE705E"/>
    <w:rsid w:val="637A231E"/>
    <w:rsid w:val="64851D56"/>
    <w:rsid w:val="64CB6E5F"/>
    <w:rsid w:val="65411990"/>
    <w:rsid w:val="65435593"/>
    <w:rsid w:val="6635067F"/>
    <w:rsid w:val="66583C79"/>
    <w:rsid w:val="665F445A"/>
    <w:rsid w:val="6679479F"/>
    <w:rsid w:val="66A91933"/>
    <w:rsid w:val="676D41FA"/>
    <w:rsid w:val="67702308"/>
    <w:rsid w:val="67D10C09"/>
    <w:rsid w:val="680622D3"/>
    <w:rsid w:val="699264B4"/>
    <w:rsid w:val="69B13826"/>
    <w:rsid w:val="69E14A7F"/>
    <w:rsid w:val="6B125207"/>
    <w:rsid w:val="6B1F0111"/>
    <w:rsid w:val="6B560E7C"/>
    <w:rsid w:val="6BBF2EC5"/>
    <w:rsid w:val="6BE0108D"/>
    <w:rsid w:val="6C1C1241"/>
    <w:rsid w:val="6CC4549A"/>
    <w:rsid w:val="6D1E19C9"/>
    <w:rsid w:val="6EA62261"/>
    <w:rsid w:val="6F8F4C17"/>
    <w:rsid w:val="6FDA473F"/>
    <w:rsid w:val="700B6199"/>
    <w:rsid w:val="70C067C0"/>
    <w:rsid w:val="70E40E91"/>
    <w:rsid w:val="71763C38"/>
    <w:rsid w:val="71B16F55"/>
    <w:rsid w:val="732E4FF1"/>
    <w:rsid w:val="736B748E"/>
    <w:rsid w:val="73AC0B00"/>
    <w:rsid w:val="73EF1E6D"/>
    <w:rsid w:val="74036C0F"/>
    <w:rsid w:val="742A516B"/>
    <w:rsid w:val="74800FCB"/>
    <w:rsid w:val="7485047B"/>
    <w:rsid w:val="74A32939"/>
    <w:rsid w:val="74A359D8"/>
    <w:rsid w:val="76834DBC"/>
    <w:rsid w:val="770A4EC4"/>
    <w:rsid w:val="778C1384"/>
    <w:rsid w:val="77DA51F8"/>
    <w:rsid w:val="782A30A3"/>
    <w:rsid w:val="783A4B66"/>
    <w:rsid w:val="78BF30A8"/>
    <w:rsid w:val="790023FA"/>
    <w:rsid w:val="79323578"/>
    <w:rsid w:val="79473C47"/>
    <w:rsid w:val="795F78FA"/>
    <w:rsid w:val="79E46B4C"/>
    <w:rsid w:val="7A3F1C32"/>
    <w:rsid w:val="7AC5601E"/>
    <w:rsid w:val="7BB5765B"/>
    <w:rsid w:val="7C2463D1"/>
    <w:rsid w:val="7CD01C78"/>
    <w:rsid w:val="7CD9405C"/>
    <w:rsid w:val="7CDF26E4"/>
    <w:rsid w:val="7D111846"/>
    <w:rsid w:val="7D8555F0"/>
    <w:rsid w:val="7E3B1509"/>
    <w:rsid w:val="7F1A4BF2"/>
    <w:rsid w:val="7F9D16EC"/>
    <w:rsid w:val="7FBE42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方正仿宋_GBK" w:cstheme="minorBidi"/>
      <w:kern w:val="2"/>
      <w:sz w:val="32"/>
      <w:szCs w:val="24"/>
      <w:lang w:val="en-US" w:eastAsia="zh-CN" w:bidi="ar-SA"/>
    </w:rPr>
  </w:style>
  <w:style w:type="character" w:default="1" w:styleId="8">
    <w:name w:val="Default Paragraph Font"/>
    <w:unhideWhenUsed/>
    <w:qFormat/>
    <w:uiPriority w:val="1"/>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annotation text"/>
    <w:basedOn w:val="1"/>
    <w:link w:val="11"/>
    <w:autoRedefine/>
    <w:qFormat/>
    <w:uiPriority w:val="0"/>
    <w:pPr>
      <w:jc w:val="left"/>
    </w:pPr>
  </w:style>
  <w:style w:type="paragraph" w:styleId="3">
    <w:name w:val="Balloon Text"/>
    <w:basedOn w:val="1"/>
    <w:link w:val="10"/>
    <w:autoRedefine/>
    <w:qFormat/>
    <w:uiPriority w:val="0"/>
    <w:rPr>
      <w:sz w:val="18"/>
      <w:szCs w:val="18"/>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annotation subject"/>
    <w:basedOn w:val="2"/>
    <w:next w:val="2"/>
    <w:link w:val="12"/>
    <w:autoRedefine/>
    <w:qFormat/>
    <w:uiPriority w:val="0"/>
    <w:rPr>
      <w:b/>
      <w:bCs/>
    </w:rPr>
  </w:style>
  <w:style w:type="character" w:styleId="9">
    <w:name w:val="annotation reference"/>
    <w:basedOn w:val="8"/>
    <w:autoRedefine/>
    <w:qFormat/>
    <w:uiPriority w:val="0"/>
    <w:rPr>
      <w:sz w:val="21"/>
      <w:szCs w:val="21"/>
    </w:rPr>
  </w:style>
  <w:style w:type="character" w:customStyle="1" w:styleId="10">
    <w:name w:val="批注框文本 Char"/>
    <w:basedOn w:val="8"/>
    <w:link w:val="3"/>
    <w:autoRedefine/>
    <w:qFormat/>
    <w:uiPriority w:val="0"/>
    <w:rPr>
      <w:rFonts w:ascii="Times New Roman" w:hAnsi="Times New Roman" w:eastAsia="方正仿宋_GBK"/>
      <w:kern w:val="2"/>
      <w:sz w:val="18"/>
      <w:szCs w:val="18"/>
    </w:rPr>
  </w:style>
  <w:style w:type="character" w:customStyle="1" w:styleId="11">
    <w:name w:val="批注文字 Char"/>
    <w:basedOn w:val="8"/>
    <w:link w:val="2"/>
    <w:autoRedefine/>
    <w:qFormat/>
    <w:uiPriority w:val="0"/>
    <w:rPr>
      <w:rFonts w:ascii="Times New Roman" w:hAnsi="Times New Roman" w:eastAsia="方正仿宋_GBK"/>
      <w:kern w:val="2"/>
      <w:sz w:val="32"/>
      <w:szCs w:val="24"/>
    </w:rPr>
  </w:style>
  <w:style w:type="character" w:customStyle="1" w:styleId="12">
    <w:name w:val="批注主题 Char"/>
    <w:basedOn w:val="11"/>
    <w:link w:val="6"/>
    <w:autoRedefine/>
    <w:qFormat/>
    <w:uiPriority w:val="0"/>
    <w:rPr>
      <w:rFonts w:ascii="Times New Roman" w:hAnsi="Times New Roman" w:eastAsia="方正仿宋_GBK"/>
      <w:b/>
      <w:bCs/>
      <w:kern w:val="2"/>
      <w:sz w:val="32"/>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daohangxitong.com</Company>
  <Pages>32</Pages>
  <Words>2609</Words>
  <Characters>14877</Characters>
  <Lines>123</Lines>
  <Paragraphs>34</Paragraphs>
  <TotalTime>13</TotalTime>
  <ScaleCrop>false</ScaleCrop>
  <LinksUpToDate>false</LinksUpToDate>
  <CharactersWithSpaces>17452</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2024-02-26T02:46:00Z</dcterms:created>
  <dc:creator>admin</dc:creator>
  <cp:lastModifiedBy>Jennifer玲ཽ珑ཽ</cp:lastModifiedBy>
  <cp:lastPrinted>2024-06-03T07:46:00Z</cp:lastPrinted>
  <dcterms:modified xsi:type="dcterms:W3CDTF">2024-06-24T09:34:46Z</dcterms:modified>
  <cp:revision>119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279F1FF1A3564B1AAECFEB100344048F_13</vt:lpwstr>
  </property>
</Properties>
</file>