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附件1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安徽省第五批入苏生猪屠宰加工企业名单</w:t>
      </w:r>
    </w:p>
    <w:bookmarkEnd w:id="0"/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tbl>
      <w:tblPr>
        <w:tblStyle w:val="4"/>
        <w:tblpPr w:leftFromText="180" w:rightFromText="180" w:vertAnchor="text" w:horzAnchor="page" w:tblpX="1454" w:tblpY="142"/>
        <w:tblOverlap w:val="never"/>
        <w:tblW w:w="1376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9"/>
        <w:gridCol w:w="3544"/>
        <w:gridCol w:w="4512"/>
        <w:gridCol w:w="2280"/>
        <w:gridCol w:w="22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定点屠宰代码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法人（负责人）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 w:val="24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 w:val="24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 w:val="24"/>
              </w:rPr>
              <w:t>临泉县腾飞肉类有限公司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安徽省阜阳市临泉县韦寨镇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A14040523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周中梅</w:t>
            </w:r>
          </w:p>
        </w:tc>
      </w:tr>
    </w:tbl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A4299"/>
    <w:rsid w:val="10CA42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2019-05-08T03:08:00Z</dcterms:created>
  <dc:creator>邢进才</dc:creator>
  <cp:lastModifiedBy>邢进才</cp:lastModifiedBy>
  <dcterms:modified xsi:type="dcterms:W3CDTF">2019-05-08T03:09:06Z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