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71A507D">
      <w:pPr>
        <w:pStyle w:val="2"/>
        <w:keepNext w:val="0"/>
        <w:keepLines w:val="0"/>
        <w:pageBreakBefore w:val="0"/>
        <w:widowControl w:val="0"/>
        <w:kinsoku/>
        <w:wordWrap/>
        <w:overflowPunct w:val="0"/>
        <w:topLinePunct w:val="0"/>
        <w:autoSpaceDE/>
        <w:autoSpaceDN/>
        <w:bidi w:val="0"/>
        <w:adjustRightInd/>
        <w:snapToGrid/>
        <w:spacing w:line="560" w:lineRule="exact"/>
        <w:ind w:left="0" w:leftChars="0" w:right="0" w:rightChars="0" w:firstLine="0"/>
        <w:jc w:val="both"/>
        <w:textAlignment w:val="auto"/>
        <w:rPr>
          <w:rFonts w:hint="default" w:ascii="Times New Roman" w:hAnsi="Times New Roman" w:eastAsia="方正楷体_GBK" w:cs="Times New Roman"/>
          <w:color w:val="auto"/>
        </w:rPr>
      </w:pPr>
    </w:p>
    <w:p w14:paraId="26002E53">
      <w:pPr>
        <w:keepNext w:val="0"/>
        <w:keepLines w:val="0"/>
        <w:pageBreakBefore w:val="0"/>
        <w:widowControl w:val="0"/>
        <w:kinsoku/>
        <w:wordWrap/>
        <w:overflowPunct w:val="0"/>
        <w:autoSpaceDE/>
        <w:bidi w:val="0"/>
        <w:spacing w:line="560" w:lineRule="exact"/>
        <w:ind w:left="0" w:leftChars="0" w:right="0" w:rightChars="0"/>
        <w:jc w:val="center"/>
        <w:rPr>
          <w:rFonts w:hint="default" w:ascii="Times New Roman" w:hAnsi="Times New Roman" w:eastAsia="方正小标宋_GBK" w:cs="Times New Roman"/>
          <w:spacing w:val="0"/>
          <w:sz w:val="44"/>
          <w:szCs w:val="44"/>
          <w:lang w:eastAsia="zh-CN"/>
        </w:rPr>
      </w:pPr>
      <w:r>
        <w:rPr>
          <w:rFonts w:hint="default" w:ascii="Times New Roman" w:hAnsi="Times New Roman" w:eastAsia="方正小标宋_GBK" w:cs="Times New Roman"/>
          <w:spacing w:val="1"/>
          <w:w w:val="90"/>
          <w:kern w:val="0"/>
          <w:sz w:val="44"/>
          <w:szCs w:val="44"/>
          <w:fitText w:val="8338" w:id="2047162217"/>
        </w:rPr>
        <w:t>江苏省现代设施农业</w:t>
      </w:r>
      <w:r>
        <w:rPr>
          <w:rFonts w:hint="eastAsia" w:ascii="Times New Roman" w:hAnsi="Times New Roman" w:eastAsia="方正小标宋_GBK" w:cs="Times New Roman"/>
          <w:spacing w:val="1"/>
          <w:w w:val="90"/>
          <w:kern w:val="0"/>
          <w:sz w:val="44"/>
          <w:szCs w:val="44"/>
          <w:fitText w:val="8338" w:id="2047162217"/>
          <w:lang w:val="en-US" w:eastAsia="zh-CN"/>
        </w:rPr>
        <w:t>建设</w:t>
      </w:r>
      <w:r>
        <w:rPr>
          <w:rFonts w:hint="default" w:ascii="Times New Roman" w:hAnsi="Times New Roman" w:eastAsia="方正小标宋_GBK" w:cs="Times New Roman"/>
          <w:spacing w:val="1"/>
          <w:w w:val="90"/>
          <w:kern w:val="0"/>
          <w:sz w:val="44"/>
          <w:szCs w:val="44"/>
          <w:fitText w:val="8338" w:id="2047162217"/>
          <w:lang w:val="en-US" w:eastAsia="zh-CN"/>
        </w:rPr>
        <w:t>贷款</w:t>
      </w:r>
      <w:r>
        <w:rPr>
          <w:rFonts w:hint="default" w:ascii="Times New Roman" w:hAnsi="Times New Roman" w:eastAsia="方正小标宋_GBK" w:cs="Times New Roman"/>
          <w:spacing w:val="1"/>
          <w:w w:val="90"/>
          <w:kern w:val="0"/>
          <w:sz w:val="44"/>
          <w:szCs w:val="44"/>
          <w:fitText w:val="8338" w:id="2047162217"/>
        </w:rPr>
        <w:t>贴息工作实施</w:t>
      </w:r>
      <w:r>
        <w:rPr>
          <w:rFonts w:hint="default" w:ascii="Times New Roman" w:hAnsi="Times New Roman" w:eastAsia="方正小标宋_GBK" w:cs="Times New Roman"/>
          <w:spacing w:val="1"/>
          <w:w w:val="90"/>
          <w:kern w:val="0"/>
          <w:sz w:val="44"/>
          <w:szCs w:val="44"/>
          <w:fitText w:val="8338" w:id="2047162217"/>
          <w:lang w:val="en-US" w:eastAsia="zh-CN"/>
        </w:rPr>
        <w:t>细</w:t>
      </w:r>
      <w:r>
        <w:rPr>
          <w:rFonts w:hint="default" w:ascii="Times New Roman" w:hAnsi="Times New Roman" w:eastAsia="方正小标宋_GBK" w:cs="Times New Roman"/>
          <w:spacing w:val="-1"/>
          <w:w w:val="90"/>
          <w:kern w:val="0"/>
          <w:sz w:val="44"/>
          <w:szCs w:val="44"/>
          <w:fitText w:val="8338" w:id="2047162217"/>
          <w:lang w:val="en-US" w:eastAsia="zh-CN"/>
        </w:rPr>
        <w:t>则</w:t>
      </w:r>
    </w:p>
    <w:p w14:paraId="7F4BF4BD">
      <w:pPr>
        <w:keepNext w:val="0"/>
        <w:keepLines w:val="0"/>
        <w:pageBreakBefore w:val="0"/>
        <w:widowControl w:val="0"/>
        <w:kinsoku/>
        <w:wordWrap/>
        <w:overflowPunct w:val="0"/>
        <w:autoSpaceDE/>
        <w:bidi w:val="0"/>
        <w:spacing w:line="560" w:lineRule="exact"/>
        <w:ind w:left="0" w:leftChars="0" w:right="0" w:rightChars="0"/>
        <w:jc w:val="both"/>
        <w:rPr>
          <w:rFonts w:hint="default" w:ascii="Times New Roman" w:hAnsi="Times New Roman" w:eastAsia="方正小标宋_GBK" w:cs="Times New Roman"/>
          <w:spacing w:val="0"/>
          <w:sz w:val="44"/>
          <w:szCs w:val="44"/>
        </w:rPr>
      </w:pPr>
    </w:p>
    <w:p w14:paraId="29083B27">
      <w:pPr>
        <w:keepNext w:val="0"/>
        <w:keepLines w:val="0"/>
        <w:pageBreakBefore w:val="0"/>
        <w:widowControl w:val="0"/>
        <w:kinsoku/>
        <w:wordWrap/>
        <w:overflowPunct w:val="0"/>
        <w:topLinePunct/>
        <w:autoSpaceDE/>
        <w:autoSpaceDN/>
        <w:bidi w:val="0"/>
        <w:spacing w:line="560" w:lineRule="exact"/>
        <w:ind w:left="0" w:leftChars="0" w:right="0" w:rightChars="0" w:firstLine="640" w:firstLineChars="200"/>
        <w:jc w:val="both"/>
        <w:outlineLvl w:val="2"/>
        <w:rPr>
          <w:rFonts w:hint="default" w:ascii="Times New Roman" w:hAnsi="Times New Roman" w:eastAsia="方正黑体_GBK" w:cs="Times New Roman"/>
          <w:sz w:val="32"/>
          <w:szCs w:val="32"/>
        </w:rPr>
      </w:pPr>
      <w:r>
        <w:rPr>
          <w:rFonts w:hint="default" w:ascii="Times New Roman" w:hAnsi="Times New Roman" w:eastAsia="方正黑体_GBK" w:cs="Times New Roman"/>
          <w:spacing w:val="0"/>
          <w:sz w:val="32"/>
          <w:szCs w:val="32"/>
        </w:rPr>
        <w:t>一、贴息对象</w:t>
      </w:r>
    </w:p>
    <w:p w14:paraId="0A9172BC">
      <w:pPr>
        <w:keepNext w:val="0"/>
        <w:keepLines w:val="0"/>
        <w:pageBreakBefore w:val="0"/>
        <w:widowControl w:val="0"/>
        <w:kinsoku/>
        <w:wordWrap/>
        <w:overflowPunct w:val="0"/>
        <w:topLinePunct/>
        <w:autoSpaceDE/>
        <w:autoSpaceDN/>
        <w:bidi w:val="0"/>
        <w:spacing w:line="560" w:lineRule="exact"/>
        <w:ind w:left="0" w:leftChars="0" w:right="0" w:rightChars="0" w:firstLine="643"/>
        <w:jc w:val="both"/>
        <w:rPr>
          <w:rFonts w:hint="default" w:ascii="Times New Roman" w:hAnsi="Times New Roman" w:eastAsia="方正仿宋_GBK" w:cs="Times New Roman"/>
          <w:sz w:val="32"/>
          <w:szCs w:val="32"/>
        </w:rPr>
      </w:pPr>
      <w:r>
        <w:rPr>
          <w:rFonts w:hint="default" w:ascii="Times New Roman" w:hAnsi="Times New Roman" w:eastAsia="方正仿宋_GBK" w:cs="Times New Roman"/>
          <w:spacing w:val="0"/>
          <w:sz w:val="32"/>
          <w:szCs w:val="32"/>
        </w:rPr>
        <w:t>在江苏省行政区域内从事现代设施农业生产的农户、家庭农场、农民合作社、农业企业、农业社会化服务组织、农村集体经济组织等各类农业经营主体。</w:t>
      </w:r>
    </w:p>
    <w:p w14:paraId="69EDE193">
      <w:pPr>
        <w:keepNext w:val="0"/>
        <w:keepLines w:val="0"/>
        <w:pageBreakBefore w:val="0"/>
        <w:widowControl w:val="0"/>
        <w:kinsoku/>
        <w:wordWrap/>
        <w:overflowPunct w:val="0"/>
        <w:topLinePunct/>
        <w:autoSpaceDE/>
        <w:autoSpaceDN/>
        <w:bidi w:val="0"/>
        <w:spacing w:line="560" w:lineRule="exact"/>
        <w:ind w:left="0" w:leftChars="0" w:right="0" w:rightChars="0" w:firstLine="640" w:firstLineChars="200"/>
        <w:jc w:val="both"/>
        <w:outlineLvl w:val="2"/>
        <w:rPr>
          <w:rFonts w:hint="default" w:ascii="Times New Roman" w:hAnsi="Times New Roman" w:eastAsia="方正黑体_GBK" w:cs="Times New Roman"/>
          <w:sz w:val="32"/>
          <w:szCs w:val="32"/>
        </w:rPr>
      </w:pPr>
      <w:r>
        <w:rPr>
          <w:rFonts w:hint="default" w:ascii="Times New Roman" w:hAnsi="Times New Roman" w:eastAsia="方正黑体_GBK" w:cs="Times New Roman"/>
          <w:spacing w:val="0"/>
          <w:sz w:val="32"/>
          <w:szCs w:val="32"/>
        </w:rPr>
        <w:t>二、贴息范围</w:t>
      </w:r>
    </w:p>
    <w:p w14:paraId="794068D7">
      <w:pPr>
        <w:keepNext w:val="0"/>
        <w:keepLines w:val="0"/>
        <w:pageBreakBefore w:val="0"/>
        <w:widowControl w:val="0"/>
        <w:kinsoku/>
        <w:wordWrap/>
        <w:overflowPunct w:val="0"/>
        <w:topLinePunct/>
        <w:autoSpaceDE/>
        <w:autoSpaceDN/>
        <w:bidi w:val="0"/>
        <w:spacing w:line="560" w:lineRule="exact"/>
        <w:ind w:left="0" w:leftChars="0" w:right="0" w:rightChars="0" w:firstLine="640"/>
        <w:jc w:val="both"/>
        <w:rPr>
          <w:rFonts w:hint="default" w:ascii="Times New Roman" w:hAnsi="Times New Roman" w:eastAsia="方正仿宋_GBK" w:cs="Times New Roman"/>
          <w:sz w:val="32"/>
          <w:szCs w:val="32"/>
        </w:rPr>
      </w:pPr>
      <w:r>
        <w:rPr>
          <w:rFonts w:hint="default" w:ascii="Times New Roman" w:hAnsi="Times New Roman" w:eastAsia="方正仿宋_GBK" w:cs="Times New Roman"/>
          <w:spacing w:val="0"/>
          <w:sz w:val="32"/>
          <w:szCs w:val="32"/>
        </w:rPr>
        <w:t>（一）符合《全国现代设施农业建设规划（2023-2030年）》要求的设施种植、设施畜牧、设施渔业等领域新建或改扩建项目从银行获得的贷款，贷款资金须50%以上用于现代设施农业生产经营所必需的基础设施、固定资产设备投资等</w:t>
      </w:r>
      <w:r>
        <w:rPr>
          <w:rFonts w:hint="default" w:ascii="Times New Roman" w:hAnsi="Times New Roman" w:eastAsia="方正仿宋_GBK" w:cs="Times New Roman"/>
          <w:spacing w:val="0"/>
          <w:sz w:val="32"/>
          <w:szCs w:val="32"/>
          <w:lang w:eastAsia="zh-CN"/>
        </w:rPr>
        <w:t>（</w:t>
      </w:r>
      <w:r>
        <w:rPr>
          <w:rFonts w:hint="default" w:ascii="Times New Roman" w:hAnsi="Times New Roman" w:eastAsia="方正仿宋_GBK" w:cs="Times New Roman"/>
          <w:spacing w:val="0"/>
          <w:sz w:val="32"/>
          <w:szCs w:val="32"/>
          <w:lang w:val="en-US" w:eastAsia="zh-CN"/>
        </w:rPr>
        <w:t>贷款用途目录见附件</w:t>
      </w:r>
      <w:r>
        <w:rPr>
          <w:rFonts w:hint="default" w:ascii="Times New Roman" w:hAnsi="Times New Roman" w:eastAsia="方正仿宋_GBK" w:cs="Times New Roman"/>
          <w:spacing w:val="0"/>
          <w:sz w:val="32"/>
          <w:szCs w:val="32"/>
          <w:lang w:eastAsia="zh-CN"/>
        </w:rPr>
        <w:t>）</w:t>
      </w:r>
      <w:r>
        <w:rPr>
          <w:rFonts w:hint="default" w:ascii="Times New Roman" w:hAnsi="Times New Roman" w:eastAsia="方正仿宋_GBK" w:cs="Times New Roman"/>
          <w:spacing w:val="0"/>
          <w:sz w:val="32"/>
          <w:szCs w:val="32"/>
        </w:rPr>
        <w:t>。</w:t>
      </w:r>
    </w:p>
    <w:p w14:paraId="30A45A09">
      <w:pPr>
        <w:keepNext w:val="0"/>
        <w:keepLines w:val="0"/>
        <w:pageBreakBefore w:val="0"/>
        <w:widowControl w:val="0"/>
        <w:kinsoku/>
        <w:wordWrap/>
        <w:overflowPunct w:val="0"/>
        <w:topLinePunct/>
        <w:autoSpaceDE/>
        <w:autoSpaceDN/>
        <w:bidi w:val="0"/>
        <w:spacing w:line="560" w:lineRule="exact"/>
        <w:ind w:left="0" w:leftChars="0" w:right="0" w:rightChars="0" w:firstLine="612"/>
        <w:jc w:val="both"/>
        <w:rPr>
          <w:rFonts w:hint="default" w:ascii="Times New Roman" w:hAnsi="Times New Roman" w:eastAsia="方正仿宋_GBK" w:cs="Times New Roman"/>
          <w:sz w:val="32"/>
          <w:szCs w:val="32"/>
        </w:rPr>
      </w:pPr>
      <w:r>
        <w:rPr>
          <w:rFonts w:hint="default" w:ascii="Times New Roman" w:hAnsi="Times New Roman" w:eastAsia="方正仿宋_GBK" w:cs="Times New Roman"/>
          <w:spacing w:val="0"/>
          <w:sz w:val="32"/>
          <w:szCs w:val="32"/>
        </w:rPr>
        <w:t>（二）对保障</w:t>
      </w:r>
      <w:r>
        <w:rPr>
          <w:rFonts w:hint="default" w:ascii="Times New Roman" w:hAnsi="Times New Roman" w:eastAsia="方正仿宋_GBK" w:cs="Times New Roman"/>
          <w:spacing w:val="0"/>
          <w:sz w:val="32"/>
          <w:szCs w:val="32"/>
          <w:lang w:val="en-US" w:eastAsia="zh-CN"/>
        </w:rPr>
        <w:t>粮食和油料、</w:t>
      </w:r>
      <w:r>
        <w:rPr>
          <w:rFonts w:hint="default" w:ascii="Times New Roman" w:hAnsi="Times New Roman" w:eastAsia="方正仿宋_GBK" w:cs="Times New Roman"/>
          <w:spacing w:val="0"/>
          <w:sz w:val="32"/>
          <w:szCs w:val="32"/>
        </w:rPr>
        <w:t>蔬菜等重要农产品稳定安全供给的贷款予以优先支持。</w:t>
      </w:r>
    </w:p>
    <w:p w14:paraId="39C6F583">
      <w:pPr>
        <w:keepNext w:val="0"/>
        <w:keepLines w:val="0"/>
        <w:pageBreakBefore w:val="0"/>
        <w:widowControl w:val="0"/>
        <w:kinsoku/>
        <w:wordWrap/>
        <w:overflowPunct w:val="0"/>
        <w:topLinePunct/>
        <w:autoSpaceDE/>
        <w:autoSpaceDN/>
        <w:bidi w:val="0"/>
        <w:spacing w:line="560" w:lineRule="exact"/>
        <w:ind w:left="0" w:leftChars="0" w:right="0" w:rightChars="0" w:firstLine="616"/>
        <w:jc w:val="both"/>
        <w:rPr>
          <w:rFonts w:hint="default" w:ascii="Times New Roman" w:hAnsi="Times New Roman" w:eastAsia="方正仿宋_GBK" w:cs="Times New Roman"/>
          <w:sz w:val="32"/>
          <w:szCs w:val="32"/>
        </w:rPr>
      </w:pPr>
      <w:r>
        <w:rPr>
          <w:rFonts w:hint="default" w:ascii="Times New Roman" w:hAnsi="Times New Roman" w:eastAsia="方正仿宋_GBK" w:cs="Times New Roman"/>
          <w:spacing w:val="0"/>
          <w:sz w:val="32"/>
          <w:szCs w:val="32"/>
        </w:rPr>
        <w:t>（三）贷款贴息支持项目可以同时享受其他扶持政策，但财政累加补助资金（</w:t>
      </w:r>
      <w:r>
        <w:rPr>
          <w:rFonts w:hint="default" w:ascii="Times New Roman" w:hAnsi="Times New Roman" w:eastAsia="方正仿宋_GBK" w:cs="Times New Roman"/>
          <w:spacing w:val="0"/>
          <w:sz w:val="32"/>
          <w:szCs w:val="32"/>
          <w:lang w:val="en-US" w:eastAsia="zh-CN"/>
        </w:rPr>
        <w:t>不含其他中央财政贴息资金</w:t>
      </w:r>
      <w:r>
        <w:rPr>
          <w:rFonts w:hint="default" w:ascii="Times New Roman" w:hAnsi="Times New Roman" w:eastAsia="方正仿宋_GBK" w:cs="Times New Roman"/>
          <w:spacing w:val="0"/>
          <w:sz w:val="32"/>
          <w:szCs w:val="32"/>
        </w:rPr>
        <w:t>）原则上不超过其总投资的</w:t>
      </w:r>
      <w:r>
        <w:rPr>
          <w:rFonts w:hint="default" w:ascii="Times New Roman" w:hAnsi="Times New Roman" w:eastAsia="方正仿宋_GBK" w:cs="Times New Roman"/>
          <w:sz w:val="32"/>
          <w:szCs w:val="32"/>
        </w:rPr>
        <w:t>50%。</w:t>
      </w:r>
    </w:p>
    <w:p w14:paraId="03242A1B">
      <w:pPr>
        <w:keepNext w:val="0"/>
        <w:keepLines w:val="0"/>
        <w:pageBreakBefore w:val="0"/>
        <w:widowControl w:val="0"/>
        <w:kinsoku/>
        <w:wordWrap/>
        <w:overflowPunct w:val="0"/>
        <w:topLinePunct/>
        <w:autoSpaceDE/>
        <w:autoSpaceDN/>
        <w:bidi w:val="0"/>
        <w:spacing w:line="560" w:lineRule="exact"/>
        <w:ind w:left="0" w:leftChars="0" w:right="0" w:rightChars="0" w:firstLine="640" w:firstLineChars="200"/>
        <w:jc w:val="both"/>
        <w:outlineLvl w:val="2"/>
        <w:rPr>
          <w:rFonts w:hint="default" w:ascii="Times New Roman" w:hAnsi="Times New Roman" w:eastAsia="方正黑体_GBK" w:cs="Times New Roman"/>
          <w:sz w:val="32"/>
          <w:szCs w:val="32"/>
        </w:rPr>
      </w:pPr>
      <w:r>
        <w:rPr>
          <w:rFonts w:hint="default" w:ascii="Times New Roman" w:hAnsi="Times New Roman" w:eastAsia="方正黑体_GBK" w:cs="Times New Roman"/>
          <w:spacing w:val="0"/>
          <w:sz w:val="32"/>
          <w:szCs w:val="32"/>
        </w:rPr>
        <w:t>三、贴息标准</w:t>
      </w:r>
    </w:p>
    <w:p w14:paraId="623EF969">
      <w:pPr>
        <w:keepNext w:val="0"/>
        <w:keepLines w:val="0"/>
        <w:pageBreakBefore w:val="0"/>
        <w:widowControl w:val="0"/>
        <w:kinsoku/>
        <w:wordWrap/>
        <w:overflowPunct w:val="0"/>
        <w:topLinePunct/>
        <w:autoSpaceDE/>
        <w:autoSpaceDN/>
        <w:bidi w:val="0"/>
        <w:adjustRightInd w:val="0"/>
        <w:snapToGrid w:val="0"/>
        <w:spacing w:line="560" w:lineRule="exact"/>
        <w:ind w:left="0" w:leftChars="0" w:right="0" w:rightChars="0" w:firstLine="640" w:firstLineChars="200"/>
        <w:jc w:val="both"/>
        <w:textAlignment w:val="baseline"/>
        <w:rPr>
          <w:rFonts w:hint="default" w:ascii="Times New Roman" w:hAnsi="Times New Roman" w:eastAsia="方正仿宋_GBK" w:cs="Times New Roman"/>
          <w:spacing w:val="0"/>
          <w:sz w:val="32"/>
          <w:szCs w:val="32"/>
          <w:lang w:val="en-US" w:eastAsia="zh-CN"/>
        </w:rPr>
      </w:pPr>
      <w:r>
        <w:rPr>
          <w:rFonts w:hint="default" w:ascii="Times New Roman" w:hAnsi="Times New Roman" w:eastAsia="方正仿宋_GBK" w:cs="Times New Roman"/>
          <w:spacing w:val="0"/>
          <w:sz w:val="32"/>
          <w:szCs w:val="32"/>
        </w:rPr>
        <w:t>对符合贴息条件的现代设施农业建设</w:t>
      </w:r>
      <w:r>
        <w:rPr>
          <w:rFonts w:hint="default" w:ascii="Times New Roman" w:hAnsi="Times New Roman" w:eastAsia="方正仿宋_GBK" w:cs="Times New Roman"/>
          <w:spacing w:val="0"/>
          <w:sz w:val="32"/>
          <w:szCs w:val="32"/>
          <w:lang w:val="en-US" w:eastAsia="zh-CN"/>
        </w:rPr>
        <w:t>主体</w:t>
      </w:r>
      <w:r>
        <w:rPr>
          <w:rFonts w:hint="default" w:ascii="Times New Roman" w:hAnsi="Times New Roman" w:eastAsia="方正仿宋_GBK" w:cs="Times New Roman"/>
          <w:spacing w:val="0"/>
          <w:sz w:val="32"/>
          <w:szCs w:val="32"/>
        </w:rPr>
        <w:t>当年贷款予以不超过2%标准补贴，且建设主体当年获得的贷款贴息比例不得高于中国人民银行公布的同期同档次贷款市场报价利率（</w:t>
      </w:r>
      <w:r>
        <w:rPr>
          <w:rFonts w:hint="default" w:ascii="Times New Roman" w:hAnsi="Times New Roman" w:eastAsia="方正仿宋_GBK" w:cs="Times New Roman"/>
          <w:sz w:val="32"/>
          <w:szCs w:val="32"/>
        </w:rPr>
        <w:t>LPR</w:t>
      </w:r>
      <w:r>
        <w:rPr>
          <w:rFonts w:hint="default" w:ascii="Times New Roman" w:hAnsi="Times New Roman" w:eastAsia="方正仿宋_GBK" w:cs="Times New Roman"/>
          <w:spacing w:val="0"/>
          <w:sz w:val="32"/>
          <w:szCs w:val="32"/>
        </w:rPr>
        <w:t>）的70%，具体贴息标准依据年度相关省级财政支农专项资金安排确定。单户主体最高贴息金额不超过200万元/年，贴息年限最长不超过5年</w:t>
      </w:r>
      <w:r>
        <w:rPr>
          <w:rFonts w:hint="default" w:ascii="Times New Roman" w:hAnsi="Times New Roman" w:eastAsia="方正仿宋_GBK" w:cs="Times New Roman"/>
          <w:spacing w:val="0"/>
          <w:sz w:val="32"/>
          <w:szCs w:val="32"/>
          <w:lang w:eastAsia="zh-CN"/>
        </w:rPr>
        <w:t>，</w:t>
      </w:r>
      <w:r>
        <w:rPr>
          <w:rFonts w:hint="default" w:ascii="Times New Roman" w:hAnsi="Times New Roman" w:eastAsia="方正仿宋_GBK" w:cs="Times New Roman"/>
          <w:spacing w:val="0"/>
          <w:sz w:val="32"/>
          <w:szCs w:val="32"/>
          <w:lang w:val="en-US" w:eastAsia="zh-CN"/>
        </w:rPr>
        <w:t>按年度进行清算。</w:t>
      </w:r>
    </w:p>
    <w:p w14:paraId="5A3F8975">
      <w:pPr>
        <w:keepNext w:val="0"/>
        <w:keepLines w:val="0"/>
        <w:pageBreakBefore w:val="0"/>
        <w:widowControl w:val="0"/>
        <w:kinsoku/>
        <w:wordWrap/>
        <w:overflowPunct w:val="0"/>
        <w:topLinePunct/>
        <w:autoSpaceDE/>
        <w:autoSpaceDN/>
        <w:bidi w:val="0"/>
        <w:spacing w:line="560" w:lineRule="exact"/>
        <w:ind w:left="0" w:leftChars="0" w:right="0" w:rightChars="0" w:firstLine="640" w:firstLineChars="200"/>
        <w:jc w:val="both"/>
        <w:outlineLvl w:val="2"/>
        <w:rPr>
          <w:rFonts w:hint="default" w:ascii="Times New Roman" w:hAnsi="Times New Roman" w:eastAsia="方正黑体_GBK" w:cs="Times New Roman"/>
          <w:spacing w:val="0"/>
          <w:sz w:val="32"/>
          <w:szCs w:val="32"/>
        </w:rPr>
      </w:pPr>
      <w:r>
        <w:rPr>
          <w:rFonts w:hint="default" w:ascii="Times New Roman" w:hAnsi="Times New Roman" w:eastAsia="方正黑体_GBK" w:cs="Times New Roman"/>
          <w:spacing w:val="0"/>
          <w:kern w:val="2"/>
          <w:sz w:val="32"/>
          <w:szCs w:val="32"/>
          <w:lang w:val="en-US" w:eastAsia="zh-CN" w:bidi="ar-SA"/>
        </w:rPr>
        <w:t>四、</w:t>
      </w:r>
      <w:r>
        <w:rPr>
          <w:rFonts w:hint="default" w:ascii="Times New Roman" w:hAnsi="Times New Roman" w:eastAsia="方正黑体_GBK" w:cs="Times New Roman"/>
          <w:spacing w:val="0"/>
          <w:sz w:val="32"/>
          <w:szCs w:val="32"/>
        </w:rPr>
        <w:t>贴息流程</w:t>
      </w:r>
    </w:p>
    <w:p w14:paraId="4176DF7B">
      <w:pPr>
        <w:keepNext w:val="0"/>
        <w:keepLines w:val="0"/>
        <w:pageBreakBefore w:val="0"/>
        <w:widowControl w:val="0"/>
        <w:kinsoku/>
        <w:wordWrap/>
        <w:overflowPunct w:val="0"/>
        <w:topLinePunct/>
        <w:autoSpaceDE/>
        <w:autoSpaceDN/>
        <w:bidi w:val="0"/>
        <w:spacing w:line="560" w:lineRule="exact"/>
        <w:ind w:left="0" w:leftChars="0" w:right="0" w:rightChars="0" w:firstLine="640" w:firstLineChars="200"/>
        <w:jc w:val="both"/>
        <w:rPr>
          <w:rFonts w:hint="default" w:ascii="Times New Roman" w:hAnsi="Times New Roman" w:eastAsia="方正仿宋_GBK" w:cs="Times New Roman"/>
          <w:sz w:val="31"/>
          <w:szCs w:val="31"/>
        </w:rPr>
      </w:pPr>
      <w:r>
        <w:rPr>
          <w:rFonts w:hint="default" w:ascii="Times New Roman" w:hAnsi="Times New Roman" w:eastAsia="方正楷体_GBK" w:cs="Times New Roman"/>
          <w:spacing w:val="0"/>
          <w:sz w:val="32"/>
          <w:szCs w:val="32"/>
        </w:rPr>
        <w:t>（一）明确合作银行。</w:t>
      </w:r>
      <w:r>
        <w:rPr>
          <w:rFonts w:hint="default" w:ascii="Times New Roman" w:hAnsi="Times New Roman" w:eastAsia="方正仿宋_GBK" w:cs="Times New Roman"/>
          <w:spacing w:val="0"/>
          <w:sz w:val="32"/>
          <w:szCs w:val="32"/>
        </w:rPr>
        <w:t>有合作意向的银行，由省级银行与省农担公司签订产品合作协议成为合作银行，并提交《现代农业设施贷款贴息合作银行承诺书》。</w:t>
      </w:r>
      <w:r>
        <w:rPr>
          <w:rFonts w:hint="default" w:ascii="Times New Roman" w:hAnsi="Times New Roman" w:eastAsia="方正仿宋_GBK" w:cs="Times New Roman"/>
          <w:sz w:val="32"/>
          <w:szCs w:val="32"/>
        </w:rPr>
        <w:t>合作银行应按照国家政策给予专项优惠贷款利率，原则上贷款利率不高于LPR+50个基点</w:t>
      </w:r>
      <w:r>
        <w:rPr>
          <w:rFonts w:hint="default" w:ascii="Times New Roman" w:hAnsi="Times New Roman" w:eastAsia="方正仿宋_GBK" w:cs="Times New Roman"/>
          <w:sz w:val="32"/>
          <w:szCs w:val="32"/>
          <w:lang w:eastAsia="zh-CN"/>
        </w:rPr>
        <w:t>。</w:t>
      </w:r>
    </w:p>
    <w:p w14:paraId="0CD96711">
      <w:pPr>
        <w:keepNext w:val="0"/>
        <w:keepLines w:val="0"/>
        <w:pageBreakBefore w:val="0"/>
        <w:widowControl w:val="0"/>
        <w:kinsoku/>
        <w:wordWrap/>
        <w:overflowPunct w:val="0"/>
        <w:topLinePunct/>
        <w:autoSpaceDE/>
        <w:autoSpaceDN/>
        <w:bidi w:val="0"/>
        <w:adjustRightInd w:val="0"/>
        <w:snapToGrid w:val="0"/>
        <w:spacing w:line="560" w:lineRule="exact"/>
        <w:ind w:left="0" w:leftChars="0" w:right="0" w:rightChars="0" w:firstLine="640" w:firstLineChars="200"/>
        <w:jc w:val="both"/>
        <w:rPr>
          <w:rFonts w:hint="default" w:ascii="Times New Roman" w:hAnsi="Times New Roman" w:eastAsia="方正楷体_GBK" w:cs="Times New Roman"/>
          <w:spacing w:val="0"/>
          <w:sz w:val="32"/>
          <w:szCs w:val="32"/>
          <w:lang w:val="en-US" w:eastAsia="zh-CN"/>
        </w:rPr>
      </w:pPr>
      <w:r>
        <w:rPr>
          <w:rFonts w:hint="default" w:ascii="Times New Roman" w:hAnsi="Times New Roman" w:eastAsia="方正楷体_GBK" w:cs="Times New Roman"/>
          <w:spacing w:val="0"/>
          <w:sz w:val="32"/>
          <w:szCs w:val="32"/>
        </w:rPr>
        <w:t>（二）</w:t>
      </w:r>
      <w:r>
        <w:rPr>
          <w:rFonts w:hint="default" w:ascii="Times New Roman" w:hAnsi="Times New Roman" w:eastAsia="方正楷体_GBK" w:cs="Times New Roman"/>
          <w:spacing w:val="0"/>
          <w:sz w:val="32"/>
          <w:szCs w:val="32"/>
          <w:lang w:val="en-US" w:eastAsia="zh-CN"/>
        </w:rPr>
        <w:t>担保增信支持。</w:t>
      </w:r>
      <w:r>
        <w:rPr>
          <w:rFonts w:hint="default" w:ascii="Times New Roman" w:hAnsi="Times New Roman" w:eastAsia="方正仿宋_GBK" w:cs="Times New Roman"/>
          <w:sz w:val="32"/>
          <w:szCs w:val="32"/>
        </w:rPr>
        <w:t>省农担公司牵头</w:t>
      </w:r>
      <w:r>
        <w:rPr>
          <w:rFonts w:hint="default" w:ascii="Times New Roman" w:hAnsi="Times New Roman" w:eastAsia="方正仿宋_GBK" w:cs="Times New Roman"/>
          <w:spacing w:val="0"/>
          <w:sz w:val="32"/>
          <w:szCs w:val="32"/>
        </w:rPr>
        <w:t>对</w:t>
      </w:r>
      <w:r>
        <w:rPr>
          <w:rFonts w:hint="default" w:ascii="Times New Roman" w:hAnsi="Times New Roman" w:eastAsia="方正仿宋_GBK" w:cs="Times New Roman"/>
          <w:spacing w:val="0"/>
          <w:sz w:val="32"/>
          <w:szCs w:val="32"/>
          <w:lang w:val="en-US" w:eastAsia="zh-CN"/>
        </w:rPr>
        <w:t>需要提供融资担保且</w:t>
      </w:r>
      <w:r>
        <w:rPr>
          <w:rFonts w:hint="default" w:ascii="Times New Roman" w:hAnsi="Times New Roman" w:eastAsia="方正仿宋_GBK" w:cs="Times New Roman"/>
          <w:spacing w:val="0"/>
          <w:sz w:val="32"/>
          <w:szCs w:val="32"/>
        </w:rPr>
        <w:t>符合条件的</w:t>
      </w:r>
      <w:r>
        <w:rPr>
          <w:rFonts w:hint="default" w:ascii="Times New Roman" w:hAnsi="Times New Roman" w:eastAsia="方正仿宋_GBK" w:cs="Times New Roman"/>
          <w:spacing w:val="0"/>
          <w:sz w:val="32"/>
          <w:szCs w:val="32"/>
          <w:lang w:val="en-US" w:eastAsia="zh-CN"/>
        </w:rPr>
        <w:t>现代</w:t>
      </w:r>
      <w:r>
        <w:rPr>
          <w:rFonts w:hint="default" w:ascii="Times New Roman" w:hAnsi="Times New Roman" w:eastAsia="方正仿宋_GBK" w:cs="Times New Roman"/>
          <w:spacing w:val="0"/>
          <w:sz w:val="32"/>
          <w:szCs w:val="32"/>
        </w:rPr>
        <w:t>设施农业项目提供增信支持</w:t>
      </w:r>
      <w:r>
        <w:rPr>
          <w:rFonts w:hint="default" w:ascii="Times New Roman" w:hAnsi="Times New Roman" w:eastAsia="方正仿宋_GBK" w:cs="Times New Roman"/>
          <w:sz w:val="32"/>
          <w:szCs w:val="32"/>
        </w:rPr>
        <w:t>。对于符合农业融资担保“双控”政策范围（详见财农〔2020〕15号</w:t>
      </w:r>
      <w:r>
        <w:rPr>
          <w:rFonts w:hint="default" w:ascii="Times New Roman" w:hAnsi="Times New Roman" w:eastAsia="方正仿宋_GBK" w:cs="Times New Roman"/>
          <w:sz w:val="32"/>
          <w:szCs w:val="32"/>
          <w:lang w:eastAsia="zh-CN"/>
        </w:rPr>
        <w:t>和苏</w:t>
      </w:r>
      <w:r>
        <w:rPr>
          <w:rFonts w:hint="default" w:ascii="Times New Roman" w:hAnsi="Times New Roman" w:eastAsia="方正仿宋_GBK" w:cs="Times New Roman"/>
          <w:sz w:val="32"/>
          <w:szCs w:val="32"/>
        </w:rPr>
        <w:t>农</w:t>
      </w:r>
      <w:r>
        <w:rPr>
          <w:rFonts w:hint="default" w:ascii="Times New Roman" w:hAnsi="Times New Roman" w:eastAsia="方正仿宋_GBK" w:cs="Times New Roman"/>
          <w:sz w:val="32"/>
          <w:szCs w:val="32"/>
          <w:lang w:eastAsia="zh-CN"/>
        </w:rPr>
        <w:t>计</w:t>
      </w:r>
      <w:r>
        <w:rPr>
          <w:rFonts w:hint="default" w:ascii="Times New Roman" w:hAnsi="Times New Roman" w:eastAsia="方正仿宋_GBK" w:cs="Times New Roman"/>
          <w:sz w:val="32"/>
          <w:szCs w:val="32"/>
        </w:rPr>
        <w:t>〔202</w:t>
      </w:r>
      <w:r>
        <w:rPr>
          <w:rFonts w:hint="default" w:ascii="Times New Roman" w:hAnsi="Times New Roman" w:eastAsia="方正仿宋_GBK" w:cs="Times New Roman"/>
          <w:sz w:val="32"/>
          <w:szCs w:val="32"/>
          <w:lang w:val="en-US" w:eastAsia="zh-CN"/>
        </w:rPr>
        <w:t>4</w:t>
      </w:r>
      <w:r>
        <w:rPr>
          <w:rFonts w:hint="default" w:ascii="Times New Roman" w:hAnsi="Times New Roman" w:eastAsia="方正仿宋_GBK" w:cs="Times New Roman"/>
          <w:sz w:val="32"/>
          <w:szCs w:val="32"/>
        </w:rPr>
        <w:t>〕</w:t>
      </w:r>
      <w:r>
        <w:rPr>
          <w:rFonts w:hint="default" w:ascii="Times New Roman" w:hAnsi="Times New Roman" w:eastAsia="方正仿宋_GBK" w:cs="Times New Roman"/>
          <w:sz w:val="32"/>
          <w:szCs w:val="32"/>
          <w:lang w:val="en-US" w:eastAsia="zh-CN"/>
        </w:rPr>
        <w:t>21号文件</w:t>
      </w:r>
      <w:r>
        <w:rPr>
          <w:rFonts w:hint="default" w:ascii="Times New Roman" w:hAnsi="Times New Roman" w:eastAsia="方正仿宋_GBK" w:cs="Times New Roman"/>
          <w:sz w:val="32"/>
          <w:szCs w:val="32"/>
        </w:rPr>
        <w:t>）的经营主体融资需求，由省农担公司提供融资担保服务；对于超出</w:t>
      </w:r>
      <w:r>
        <w:rPr>
          <w:rFonts w:hint="eastAsia" w:ascii="Times New Roman" w:hAnsi="Times New Roman" w:eastAsia="方正仿宋_GBK" w:cs="Times New Roman"/>
          <w:sz w:val="32"/>
          <w:szCs w:val="32"/>
          <w:lang w:eastAsia="zh-CN"/>
        </w:rPr>
        <w:t>“</w:t>
      </w:r>
      <w:r>
        <w:rPr>
          <w:rFonts w:hint="default" w:ascii="Times New Roman" w:hAnsi="Times New Roman" w:eastAsia="方正仿宋_GBK" w:cs="Times New Roman"/>
          <w:sz w:val="32"/>
          <w:szCs w:val="32"/>
        </w:rPr>
        <w:t>双控</w:t>
      </w:r>
      <w:r>
        <w:rPr>
          <w:rFonts w:hint="eastAsia" w:ascii="Times New Roman" w:hAnsi="Times New Roman" w:eastAsia="方正仿宋_GBK" w:cs="Times New Roman"/>
          <w:sz w:val="32"/>
          <w:szCs w:val="32"/>
          <w:lang w:eastAsia="zh-CN"/>
        </w:rPr>
        <w:t>”</w:t>
      </w:r>
      <w:r>
        <w:rPr>
          <w:rFonts w:hint="default" w:ascii="Times New Roman" w:hAnsi="Times New Roman" w:eastAsia="方正仿宋_GBK" w:cs="Times New Roman"/>
          <w:sz w:val="32"/>
          <w:szCs w:val="32"/>
        </w:rPr>
        <w:t>范围的，</w:t>
      </w:r>
      <w:r>
        <w:rPr>
          <w:rFonts w:hint="default" w:ascii="Times New Roman" w:hAnsi="Times New Roman" w:eastAsia="方正仿宋_GBK" w:cs="Times New Roman"/>
          <w:sz w:val="32"/>
          <w:szCs w:val="32"/>
          <w:lang w:val="en-US" w:eastAsia="zh-CN"/>
        </w:rPr>
        <w:t>可</w:t>
      </w:r>
      <w:r>
        <w:rPr>
          <w:rFonts w:hint="default" w:ascii="Times New Roman" w:hAnsi="Times New Roman" w:eastAsia="方正仿宋_GBK" w:cs="Times New Roman"/>
          <w:sz w:val="32"/>
          <w:szCs w:val="32"/>
        </w:rPr>
        <w:t>由省农担公司牵头</w:t>
      </w:r>
      <w:r>
        <w:rPr>
          <w:rFonts w:hint="default" w:ascii="Times New Roman" w:hAnsi="Times New Roman" w:eastAsia="方正仿宋_GBK" w:cs="Times New Roman"/>
          <w:sz w:val="32"/>
          <w:szCs w:val="32"/>
          <w:lang w:val="en-US" w:eastAsia="zh-CN"/>
        </w:rPr>
        <w:t>帮助对接</w:t>
      </w:r>
      <w:r>
        <w:rPr>
          <w:rFonts w:hint="default" w:ascii="Times New Roman" w:hAnsi="Times New Roman" w:eastAsia="方正仿宋_GBK" w:cs="Times New Roman"/>
          <w:sz w:val="32"/>
          <w:szCs w:val="32"/>
        </w:rPr>
        <w:t>其他担保机构提供融资担保服务。担保基准费率不超过年化0.8%。</w:t>
      </w:r>
    </w:p>
    <w:p w14:paraId="2DC47727">
      <w:pPr>
        <w:keepNext w:val="0"/>
        <w:keepLines w:val="0"/>
        <w:pageBreakBefore w:val="0"/>
        <w:widowControl w:val="0"/>
        <w:kinsoku/>
        <w:wordWrap/>
        <w:overflowPunct w:val="0"/>
        <w:topLinePunct/>
        <w:autoSpaceDE/>
        <w:autoSpaceDN/>
        <w:bidi w:val="0"/>
        <w:spacing w:line="560" w:lineRule="exact"/>
        <w:ind w:left="0" w:leftChars="0" w:right="0" w:rightChars="0" w:firstLine="640" w:firstLineChars="200"/>
        <w:jc w:val="both"/>
        <w:rPr>
          <w:rFonts w:hint="default" w:ascii="Times New Roman" w:hAnsi="Times New Roman" w:eastAsia="方正仿宋_GBK" w:cs="Times New Roman"/>
          <w:sz w:val="31"/>
          <w:szCs w:val="31"/>
          <w:lang w:val="en-US" w:eastAsia="zh-CN"/>
        </w:rPr>
      </w:pPr>
      <w:r>
        <w:rPr>
          <w:rFonts w:hint="default" w:ascii="Times New Roman" w:hAnsi="Times New Roman" w:eastAsia="方正楷体_GBK" w:cs="Times New Roman"/>
          <w:spacing w:val="0"/>
          <w:sz w:val="32"/>
          <w:szCs w:val="32"/>
        </w:rPr>
        <w:t>（</w:t>
      </w:r>
      <w:r>
        <w:rPr>
          <w:rFonts w:hint="default" w:ascii="Times New Roman" w:hAnsi="Times New Roman" w:eastAsia="方正楷体_GBK" w:cs="Times New Roman"/>
          <w:spacing w:val="0"/>
          <w:sz w:val="32"/>
          <w:szCs w:val="32"/>
          <w:lang w:val="en-US" w:eastAsia="zh-CN"/>
        </w:rPr>
        <w:t>三</w:t>
      </w:r>
      <w:r>
        <w:rPr>
          <w:rFonts w:hint="default" w:ascii="Times New Roman" w:hAnsi="Times New Roman" w:eastAsia="方正楷体_GBK" w:cs="Times New Roman"/>
          <w:spacing w:val="0"/>
          <w:sz w:val="32"/>
          <w:szCs w:val="32"/>
        </w:rPr>
        <w:t>）强化贴息审核。</w:t>
      </w:r>
      <w:r>
        <w:rPr>
          <w:rFonts w:hint="default" w:ascii="Times New Roman" w:hAnsi="Times New Roman" w:eastAsia="方正仿宋_GBK" w:cs="Times New Roman"/>
          <w:spacing w:val="0"/>
          <w:sz w:val="32"/>
          <w:szCs w:val="32"/>
        </w:rPr>
        <w:t>省农担公司扎口开展贴息</w:t>
      </w:r>
      <w:r>
        <w:rPr>
          <w:rFonts w:hint="default" w:ascii="Times New Roman" w:hAnsi="Times New Roman" w:eastAsia="方正仿宋_GBK" w:cs="Times New Roman"/>
          <w:spacing w:val="0"/>
          <w:sz w:val="32"/>
          <w:szCs w:val="32"/>
          <w:lang w:val="en-US" w:eastAsia="zh-CN"/>
        </w:rPr>
        <w:t>项目</w:t>
      </w:r>
      <w:r>
        <w:rPr>
          <w:rFonts w:hint="default" w:ascii="Times New Roman" w:hAnsi="Times New Roman" w:eastAsia="方正仿宋_GBK" w:cs="Times New Roman"/>
          <w:spacing w:val="0"/>
          <w:sz w:val="32"/>
          <w:szCs w:val="32"/>
        </w:rPr>
        <w:t>初审工作</w:t>
      </w:r>
      <w:r>
        <w:rPr>
          <w:rFonts w:hint="default" w:ascii="Times New Roman" w:hAnsi="Times New Roman" w:eastAsia="方正仿宋_GBK" w:cs="Times New Roman"/>
          <w:spacing w:val="0"/>
          <w:sz w:val="32"/>
          <w:szCs w:val="32"/>
          <w:lang w:eastAsia="zh-CN"/>
        </w:rPr>
        <w:t>，</w:t>
      </w:r>
      <w:r>
        <w:rPr>
          <w:rFonts w:hint="default" w:ascii="Times New Roman" w:hAnsi="Times New Roman" w:eastAsia="方正仿宋_GBK" w:cs="Times New Roman"/>
          <w:spacing w:val="0"/>
          <w:sz w:val="32"/>
          <w:szCs w:val="32"/>
          <w:lang w:val="en-US" w:eastAsia="zh-CN"/>
        </w:rPr>
        <w:t>贴息项目包括农担公司担保的</w:t>
      </w:r>
      <w:r>
        <w:rPr>
          <w:rFonts w:hint="eastAsia" w:ascii="Times New Roman" w:hAnsi="Times New Roman" w:eastAsia="方正仿宋_GBK" w:cs="Times New Roman"/>
          <w:spacing w:val="0"/>
          <w:sz w:val="32"/>
          <w:szCs w:val="32"/>
          <w:lang w:val="en-US" w:eastAsia="zh-CN"/>
        </w:rPr>
        <w:t>“</w:t>
      </w:r>
      <w:r>
        <w:rPr>
          <w:rFonts w:hint="default" w:ascii="Times New Roman" w:hAnsi="Times New Roman" w:eastAsia="方正仿宋_GBK" w:cs="Times New Roman"/>
          <w:spacing w:val="0"/>
          <w:sz w:val="32"/>
          <w:szCs w:val="32"/>
          <w:lang w:val="en-US" w:eastAsia="zh-CN"/>
        </w:rPr>
        <w:t>双控</w:t>
      </w:r>
      <w:r>
        <w:rPr>
          <w:rFonts w:hint="eastAsia" w:ascii="Times New Roman" w:hAnsi="Times New Roman" w:eastAsia="方正仿宋_GBK" w:cs="Times New Roman"/>
          <w:spacing w:val="0"/>
          <w:sz w:val="32"/>
          <w:szCs w:val="32"/>
          <w:lang w:val="en-US" w:eastAsia="zh-CN"/>
        </w:rPr>
        <w:t>”</w:t>
      </w:r>
      <w:r>
        <w:rPr>
          <w:rFonts w:hint="default" w:ascii="Times New Roman" w:hAnsi="Times New Roman" w:eastAsia="方正仿宋_GBK" w:cs="Times New Roman"/>
          <w:spacing w:val="0"/>
          <w:sz w:val="32"/>
          <w:szCs w:val="32"/>
          <w:lang w:val="en-US" w:eastAsia="zh-CN"/>
        </w:rPr>
        <w:t>内项目、其他担保机构担保的</w:t>
      </w:r>
      <w:r>
        <w:rPr>
          <w:rFonts w:hint="eastAsia" w:ascii="Times New Roman" w:hAnsi="Times New Roman" w:eastAsia="方正仿宋_GBK" w:cs="Times New Roman"/>
          <w:spacing w:val="0"/>
          <w:sz w:val="32"/>
          <w:szCs w:val="32"/>
          <w:lang w:val="en-US" w:eastAsia="zh-CN"/>
        </w:rPr>
        <w:t>“</w:t>
      </w:r>
      <w:r>
        <w:rPr>
          <w:rFonts w:hint="default" w:ascii="Times New Roman" w:hAnsi="Times New Roman" w:eastAsia="方正仿宋_GBK" w:cs="Times New Roman"/>
          <w:spacing w:val="0"/>
          <w:sz w:val="32"/>
          <w:szCs w:val="32"/>
          <w:lang w:val="en-US" w:eastAsia="zh-CN"/>
        </w:rPr>
        <w:t>双控</w:t>
      </w:r>
      <w:r>
        <w:rPr>
          <w:rFonts w:hint="eastAsia" w:ascii="Times New Roman" w:hAnsi="Times New Roman" w:eastAsia="方正仿宋_GBK" w:cs="Times New Roman"/>
          <w:spacing w:val="0"/>
          <w:sz w:val="32"/>
          <w:szCs w:val="32"/>
          <w:lang w:val="en-US" w:eastAsia="zh-CN"/>
        </w:rPr>
        <w:t>”</w:t>
      </w:r>
      <w:r>
        <w:rPr>
          <w:rFonts w:hint="default" w:ascii="Times New Roman" w:hAnsi="Times New Roman" w:eastAsia="方正仿宋_GBK" w:cs="Times New Roman"/>
          <w:spacing w:val="0"/>
          <w:sz w:val="32"/>
          <w:szCs w:val="32"/>
          <w:lang w:val="en-US" w:eastAsia="zh-CN"/>
        </w:rPr>
        <w:t>外项目，以及合作银行发放的符合条件的其他项目</w:t>
      </w:r>
      <w:r>
        <w:rPr>
          <w:rFonts w:hint="default" w:ascii="Times New Roman" w:hAnsi="Times New Roman" w:eastAsia="方正仿宋_GBK" w:cs="Times New Roman"/>
          <w:spacing w:val="0"/>
          <w:sz w:val="32"/>
          <w:szCs w:val="32"/>
        </w:rPr>
        <w:t>。</w:t>
      </w:r>
      <w:r>
        <w:rPr>
          <w:rFonts w:hint="default" w:ascii="Times New Roman" w:hAnsi="Times New Roman" w:eastAsia="方正仿宋_GBK" w:cs="Times New Roman"/>
          <w:spacing w:val="0"/>
          <w:sz w:val="32"/>
          <w:szCs w:val="32"/>
          <w:lang w:val="en-US" w:eastAsia="zh-CN"/>
        </w:rPr>
        <w:t>项目</w:t>
      </w:r>
      <w:r>
        <w:rPr>
          <w:rFonts w:hint="default" w:ascii="Times New Roman" w:hAnsi="Times New Roman" w:eastAsia="方正仿宋_GBK" w:cs="Times New Roman"/>
          <w:spacing w:val="0"/>
          <w:sz w:val="32"/>
          <w:szCs w:val="32"/>
          <w:lang w:val="en-US" w:eastAsia="zh-CN" w:bidi="ar-SA"/>
        </w:rPr>
        <w:t>放款后，由省农担各</w:t>
      </w:r>
      <w:r>
        <w:rPr>
          <w:rFonts w:hint="default" w:ascii="Times New Roman" w:hAnsi="Times New Roman" w:eastAsia="方正仿宋_GBK" w:cs="Times New Roman"/>
          <w:spacing w:val="0"/>
          <w:sz w:val="32"/>
          <w:szCs w:val="32"/>
          <w:lang w:bidi="ar-SA"/>
        </w:rPr>
        <w:t>市县分公司</w:t>
      </w:r>
      <w:r>
        <w:rPr>
          <w:rFonts w:hint="default" w:ascii="Times New Roman" w:hAnsi="Times New Roman" w:eastAsia="方正仿宋_GBK" w:cs="Times New Roman"/>
          <w:spacing w:val="0"/>
          <w:sz w:val="32"/>
          <w:szCs w:val="32"/>
          <w:lang w:val="en-US" w:eastAsia="zh-CN" w:bidi="ar-SA"/>
        </w:rPr>
        <w:t>指定专人定期搜集汇总贴息基本材料，包括收款账户信息、</w:t>
      </w:r>
      <w:r>
        <w:rPr>
          <w:rFonts w:hint="default" w:ascii="Times New Roman" w:hAnsi="Times New Roman" w:eastAsia="方正仿宋_GBK" w:cs="Times New Roman"/>
          <w:spacing w:val="0"/>
          <w:sz w:val="32"/>
          <w:szCs w:val="32"/>
        </w:rPr>
        <w:t>贷款合同、贷款发放凭证、利息支付凭证、贷款资金用途情况说明及证明资料</w:t>
      </w:r>
      <w:r>
        <w:rPr>
          <w:rFonts w:hint="default" w:ascii="Times New Roman" w:hAnsi="Times New Roman" w:eastAsia="方正仿宋_GBK" w:cs="Times New Roman"/>
          <w:spacing w:val="0"/>
          <w:sz w:val="32"/>
          <w:szCs w:val="32"/>
          <w:lang w:val="en-US" w:eastAsia="zh-CN"/>
        </w:rPr>
        <w:t>等，并</w:t>
      </w:r>
      <w:r>
        <w:rPr>
          <w:rFonts w:hint="default" w:ascii="Times New Roman" w:hAnsi="Times New Roman" w:eastAsia="方正仿宋_GBK" w:cs="Times New Roman"/>
          <w:spacing w:val="0"/>
          <w:sz w:val="32"/>
          <w:szCs w:val="32"/>
          <w:lang w:val="en-US" w:eastAsia="zh-CN" w:bidi="ar-SA"/>
        </w:rPr>
        <w:t>及时</w:t>
      </w:r>
      <w:r>
        <w:rPr>
          <w:rFonts w:hint="default" w:ascii="Times New Roman" w:hAnsi="Times New Roman" w:eastAsia="方正仿宋_GBK" w:cs="Times New Roman"/>
          <w:spacing w:val="0"/>
          <w:sz w:val="32"/>
          <w:szCs w:val="32"/>
        </w:rPr>
        <w:t>在融资服务平台</w:t>
      </w:r>
      <w:r>
        <w:rPr>
          <w:rFonts w:hint="eastAsia" w:ascii="Times New Roman" w:hAnsi="Times New Roman" w:eastAsia="方正仿宋_GBK" w:cs="Times New Roman"/>
          <w:spacing w:val="0"/>
          <w:sz w:val="32"/>
          <w:szCs w:val="32"/>
          <w:lang w:eastAsia="zh-CN"/>
        </w:rPr>
        <w:t>“</w:t>
      </w:r>
      <w:r>
        <w:rPr>
          <w:rFonts w:hint="default" w:ascii="Times New Roman" w:hAnsi="Times New Roman" w:eastAsia="方正仿宋_GBK" w:cs="Times New Roman"/>
          <w:spacing w:val="0"/>
          <w:sz w:val="32"/>
          <w:szCs w:val="32"/>
        </w:rPr>
        <w:t>融资项目库</w:t>
      </w:r>
      <w:r>
        <w:rPr>
          <w:rFonts w:hint="eastAsia" w:ascii="Times New Roman" w:hAnsi="Times New Roman" w:eastAsia="方正仿宋_GBK" w:cs="Times New Roman"/>
          <w:spacing w:val="0"/>
          <w:sz w:val="32"/>
          <w:szCs w:val="32"/>
          <w:lang w:eastAsia="zh-CN"/>
        </w:rPr>
        <w:t>”</w:t>
      </w:r>
      <w:r>
        <w:rPr>
          <w:rFonts w:hint="default" w:ascii="Times New Roman" w:hAnsi="Times New Roman" w:eastAsia="方正仿宋_GBK" w:cs="Times New Roman"/>
          <w:spacing w:val="0"/>
          <w:sz w:val="32"/>
          <w:szCs w:val="32"/>
        </w:rPr>
        <w:t>中</w:t>
      </w:r>
      <w:r>
        <w:rPr>
          <w:rFonts w:hint="default" w:ascii="Times New Roman" w:hAnsi="Times New Roman" w:eastAsia="方正仿宋_GBK" w:cs="Times New Roman"/>
          <w:spacing w:val="0"/>
          <w:sz w:val="32"/>
          <w:szCs w:val="32"/>
          <w:lang w:val="en-US" w:eastAsia="zh-CN" w:bidi="ar-SA"/>
        </w:rPr>
        <w:t>统一录入相关信息</w:t>
      </w:r>
      <w:r>
        <w:rPr>
          <w:rFonts w:hint="default" w:ascii="Times New Roman" w:hAnsi="Times New Roman" w:eastAsia="方正仿宋_GBK" w:cs="Times New Roman"/>
          <w:spacing w:val="0"/>
          <w:sz w:val="32"/>
          <w:szCs w:val="32"/>
          <w:lang w:val="en-US" w:eastAsia="zh-CN"/>
        </w:rPr>
        <w:t>，市县农业农村部门同步完成融资服务平台“融资项目库”审核推送</w:t>
      </w:r>
      <w:r>
        <w:rPr>
          <w:rFonts w:hint="default" w:ascii="Times New Roman" w:hAnsi="Times New Roman" w:eastAsia="方正仿宋_GBK" w:cs="Times New Roman"/>
          <w:spacing w:val="0"/>
          <w:sz w:val="32"/>
          <w:szCs w:val="32"/>
          <w:lang w:eastAsia="zh-CN"/>
        </w:rPr>
        <w:t>。</w:t>
      </w:r>
    </w:p>
    <w:p w14:paraId="2C6198DC">
      <w:pPr>
        <w:keepNext w:val="0"/>
        <w:keepLines w:val="0"/>
        <w:pageBreakBefore w:val="0"/>
        <w:widowControl w:val="0"/>
        <w:kinsoku/>
        <w:wordWrap/>
        <w:overflowPunct w:val="0"/>
        <w:topLinePunct/>
        <w:autoSpaceDE/>
        <w:autoSpaceDN/>
        <w:bidi w:val="0"/>
        <w:spacing w:line="560" w:lineRule="exact"/>
        <w:ind w:left="0" w:leftChars="0" w:right="0" w:rightChars="0" w:firstLine="611"/>
        <w:jc w:val="both"/>
        <w:rPr>
          <w:rFonts w:hint="default" w:ascii="Times New Roman" w:hAnsi="Times New Roman" w:eastAsia="方正仿宋_GBK" w:cs="Times New Roman"/>
          <w:spacing w:val="0"/>
          <w:sz w:val="32"/>
          <w:szCs w:val="32"/>
          <w:lang w:eastAsia="zh-CN"/>
        </w:rPr>
      </w:pPr>
      <w:r>
        <w:rPr>
          <w:rFonts w:hint="default" w:ascii="Times New Roman" w:hAnsi="Times New Roman" w:eastAsia="方正楷体_GBK" w:cs="Times New Roman"/>
          <w:kern w:val="2"/>
          <w:sz w:val="32"/>
          <w:szCs w:val="32"/>
          <w:lang w:val="en-US" w:eastAsia="zh-CN" w:bidi="ar-SA"/>
        </w:rPr>
        <w:t>（四）</w:t>
      </w:r>
      <w:r>
        <w:rPr>
          <w:rFonts w:hint="default" w:ascii="Times New Roman" w:hAnsi="Times New Roman" w:eastAsia="方正楷体_GBK" w:cs="Times New Roman"/>
          <w:spacing w:val="0"/>
          <w:sz w:val="32"/>
          <w:szCs w:val="32"/>
        </w:rPr>
        <w:t>兑付贴息资金。</w:t>
      </w:r>
      <w:r>
        <w:rPr>
          <w:rFonts w:hint="default" w:ascii="Times New Roman" w:hAnsi="Times New Roman" w:eastAsia="方正仿宋_GBK" w:cs="Times New Roman"/>
          <w:spacing w:val="0"/>
          <w:sz w:val="32"/>
          <w:szCs w:val="32"/>
          <w:lang w:eastAsia="zh-CN" w:bidi="ar-SA"/>
        </w:rPr>
        <w:t>财政贴息资金实行年度兑付制。</w:t>
      </w:r>
      <w:r>
        <w:rPr>
          <w:rFonts w:hint="default" w:ascii="Times New Roman" w:hAnsi="Times New Roman" w:eastAsia="方正仿宋_GBK" w:cs="Times New Roman"/>
          <w:spacing w:val="0"/>
          <w:sz w:val="32"/>
          <w:szCs w:val="32"/>
          <w:lang w:val="en-US" w:eastAsia="zh-CN"/>
        </w:rPr>
        <w:t>每年1月15日前，</w:t>
      </w:r>
      <w:r>
        <w:rPr>
          <w:rFonts w:hint="default" w:ascii="Times New Roman" w:hAnsi="Times New Roman" w:eastAsia="方正仿宋_GBK" w:cs="Times New Roman"/>
          <w:spacing w:val="0"/>
          <w:sz w:val="32"/>
          <w:szCs w:val="32"/>
        </w:rPr>
        <w:t>省农担各市县分公司汇总</w:t>
      </w:r>
      <w:r>
        <w:rPr>
          <w:rFonts w:hint="default" w:ascii="Times New Roman" w:hAnsi="Times New Roman" w:eastAsia="方正仿宋_GBK" w:cs="Times New Roman"/>
          <w:spacing w:val="0"/>
          <w:sz w:val="32"/>
          <w:szCs w:val="32"/>
          <w:lang w:val="en-US" w:eastAsia="zh-CN"/>
        </w:rPr>
        <w:t>上年度符合条件的贷款主体</w:t>
      </w:r>
      <w:r>
        <w:rPr>
          <w:rFonts w:hint="default" w:ascii="Times New Roman" w:hAnsi="Times New Roman" w:eastAsia="方正仿宋_GBK" w:cs="Times New Roman"/>
          <w:spacing w:val="0"/>
          <w:sz w:val="32"/>
          <w:szCs w:val="32"/>
        </w:rPr>
        <w:t>并</w:t>
      </w:r>
      <w:r>
        <w:rPr>
          <w:rFonts w:hint="default" w:ascii="Times New Roman" w:hAnsi="Times New Roman" w:eastAsia="方正仿宋_GBK" w:cs="Times New Roman"/>
          <w:spacing w:val="0"/>
          <w:sz w:val="32"/>
          <w:szCs w:val="32"/>
          <w:lang w:eastAsia="zh-CN"/>
        </w:rPr>
        <w:t>在农担公司相关平台</w:t>
      </w:r>
      <w:r>
        <w:rPr>
          <w:rFonts w:hint="default" w:ascii="Times New Roman" w:hAnsi="Times New Roman" w:eastAsia="方正仿宋_GBK" w:cs="Times New Roman"/>
          <w:spacing w:val="0"/>
          <w:sz w:val="32"/>
          <w:szCs w:val="32"/>
        </w:rPr>
        <w:t>公示，公示结束后</w:t>
      </w:r>
      <w:r>
        <w:rPr>
          <w:rFonts w:hint="default" w:ascii="Times New Roman" w:hAnsi="Times New Roman" w:eastAsia="方正仿宋_GBK" w:cs="Times New Roman"/>
          <w:spacing w:val="0"/>
          <w:sz w:val="32"/>
          <w:szCs w:val="32"/>
          <w:lang w:val="en-US" w:eastAsia="zh-CN"/>
        </w:rPr>
        <w:t>5</w:t>
      </w:r>
      <w:r>
        <w:rPr>
          <w:rFonts w:hint="default" w:ascii="Times New Roman" w:hAnsi="Times New Roman" w:eastAsia="方正仿宋_GBK" w:cs="Times New Roman"/>
          <w:spacing w:val="0"/>
          <w:sz w:val="32"/>
          <w:szCs w:val="32"/>
        </w:rPr>
        <w:t>个工作日内将补贴明细报</w:t>
      </w:r>
      <w:r>
        <w:rPr>
          <w:rFonts w:hint="default" w:ascii="Times New Roman" w:hAnsi="Times New Roman" w:eastAsia="方正仿宋_GBK" w:cs="Times New Roman"/>
          <w:spacing w:val="0"/>
          <w:sz w:val="32"/>
          <w:szCs w:val="32"/>
          <w:lang w:eastAsia="zh-CN"/>
        </w:rPr>
        <w:t>送</w:t>
      </w:r>
      <w:r>
        <w:rPr>
          <w:rFonts w:hint="default" w:ascii="Times New Roman" w:hAnsi="Times New Roman" w:eastAsia="方正仿宋_GBK" w:cs="Times New Roman"/>
          <w:spacing w:val="0"/>
          <w:sz w:val="32"/>
          <w:szCs w:val="32"/>
          <w:lang w:val="en-US" w:eastAsia="zh-CN"/>
        </w:rPr>
        <w:t>当地</w:t>
      </w:r>
      <w:r>
        <w:rPr>
          <w:rFonts w:hint="default" w:ascii="Times New Roman" w:hAnsi="Times New Roman" w:eastAsia="方正仿宋_GBK" w:cs="Times New Roman"/>
          <w:spacing w:val="0"/>
          <w:sz w:val="32"/>
          <w:szCs w:val="32"/>
        </w:rPr>
        <w:t>农业农村部门。</w:t>
      </w:r>
      <w:r>
        <w:rPr>
          <w:rFonts w:hint="default" w:ascii="Times New Roman" w:hAnsi="Times New Roman" w:eastAsia="方正仿宋_GBK" w:cs="Times New Roman"/>
          <w:spacing w:val="0"/>
          <w:sz w:val="32"/>
          <w:szCs w:val="32"/>
          <w:lang w:val="en-US" w:eastAsia="zh-CN"/>
        </w:rPr>
        <w:t>经县、市农业农村部门逐级审核后，由</w:t>
      </w:r>
      <w:r>
        <w:rPr>
          <w:rFonts w:hint="default" w:ascii="Times New Roman" w:hAnsi="Times New Roman" w:eastAsia="方正仿宋_GBK" w:cs="Times New Roman"/>
          <w:spacing w:val="0"/>
          <w:sz w:val="32"/>
          <w:szCs w:val="32"/>
          <w:highlight w:val="none"/>
          <w:lang w:val="en-US" w:eastAsia="zh-CN"/>
        </w:rPr>
        <w:t>设区市农业农村部门会同财政部门</w:t>
      </w:r>
      <w:r>
        <w:rPr>
          <w:rFonts w:hint="default" w:ascii="Times New Roman" w:hAnsi="Times New Roman" w:eastAsia="方正仿宋_GBK" w:cs="Times New Roman"/>
          <w:spacing w:val="0"/>
          <w:sz w:val="32"/>
          <w:szCs w:val="32"/>
          <w:highlight w:val="none"/>
          <w:lang w:eastAsia="zh-CN"/>
        </w:rPr>
        <w:t>于</w:t>
      </w:r>
      <w:r>
        <w:rPr>
          <w:rFonts w:hint="default" w:ascii="Times New Roman" w:hAnsi="Times New Roman" w:eastAsia="方正仿宋_GBK" w:cs="Times New Roman"/>
          <w:spacing w:val="0"/>
          <w:sz w:val="32"/>
          <w:szCs w:val="32"/>
          <w:highlight w:val="none"/>
          <w:lang w:val="en-US" w:eastAsia="zh-CN"/>
        </w:rPr>
        <w:t>当年2月10日前将辖区内上年度现代设施农业贷款贴息情况报省农业农村厅和省财政厅。</w:t>
      </w:r>
      <w:r>
        <w:rPr>
          <w:rFonts w:hint="default" w:ascii="Times New Roman" w:hAnsi="Times New Roman" w:eastAsia="方正仿宋_GBK" w:cs="Times New Roman"/>
          <w:spacing w:val="0"/>
          <w:sz w:val="32"/>
          <w:szCs w:val="32"/>
          <w:lang w:val="en-US" w:eastAsia="zh-CN"/>
        </w:rPr>
        <w:t>省农业农村厅会同省财政厅将全省现代设施农业贷款贴息情况报农业农村部、财政部审批后下达各地上年度贴息资金。各地财政部门</w:t>
      </w:r>
      <w:r>
        <w:rPr>
          <w:rFonts w:hint="default" w:ascii="Times New Roman" w:hAnsi="Times New Roman" w:eastAsia="方正仿宋_GBK" w:cs="Times New Roman"/>
          <w:spacing w:val="0"/>
          <w:sz w:val="32"/>
          <w:szCs w:val="32"/>
          <w:lang w:eastAsia="zh-CN"/>
        </w:rPr>
        <w:t>通过</w:t>
      </w:r>
      <w:r>
        <w:rPr>
          <w:rFonts w:hint="eastAsia" w:ascii="Times New Roman" w:hAnsi="Times New Roman" w:eastAsia="方正仿宋_GBK" w:cs="Times New Roman"/>
          <w:spacing w:val="0"/>
          <w:sz w:val="32"/>
          <w:szCs w:val="32"/>
          <w:lang w:eastAsia="zh-CN"/>
        </w:rPr>
        <w:t>“</w:t>
      </w:r>
      <w:r>
        <w:rPr>
          <w:rFonts w:hint="default" w:ascii="Times New Roman" w:hAnsi="Times New Roman" w:eastAsia="方正仿宋_GBK" w:cs="Times New Roman"/>
          <w:spacing w:val="0"/>
          <w:sz w:val="32"/>
          <w:szCs w:val="32"/>
          <w:lang w:eastAsia="zh-CN"/>
        </w:rPr>
        <w:t>一卡通</w:t>
      </w:r>
      <w:r>
        <w:rPr>
          <w:rFonts w:hint="eastAsia" w:ascii="Times New Roman" w:hAnsi="Times New Roman" w:eastAsia="方正仿宋_GBK" w:cs="Times New Roman"/>
          <w:spacing w:val="0"/>
          <w:sz w:val="32"/>
          <w:szCs w:val="32"/>
          <w:lang w:eastAsia="zh-CN"/>
        </w:rPr>
        <w:t>”</w:t>
      </w:r>
      <w:r>
        <w:rPr>
          <w:rFonts w:hint="default" w:ascii="Times New Roman" w:hAnsi="Times New Roman" w:eastAsia="方正仿宋_GBK" w:cs="Times New Roman"/>
          <w:spacing w:val="0"/>
          <w:sz w:val="32"/>
          <w:szCs w:val="32"/>
          <w:lang w:val="en-US" w:eastAsia="zh-CN"/>
        </w:rPr>
        <w:t>或根据相关收款账户信息</w:t>
      </w:r>
      <w:r>
        <w:rPr>
          <w:rFonts w:hint="default" w:ascii="Times New Roman" w:hAnsi="Times New Roman" w:eastAsia="方正仿宋_GBK" w:cs="Times New Roman"/>
          <w:spacing w:val="0"/>
          <w:sz w:val="32"/>
          <w:szCs w:val="32"/>
          <w:lang w:eastAsia="zh-CN"/>
        </w:rPr>
        <w:t>直接拨付至</w:t>
      </w:r>
      <w:r>
        <w:rPr>
          <w:rFonts w:hint="default" w:ascii="Times New Roman" w:hAnsi="Times New Roman" w:eastAsia="方正仿宋_GBK" w:cs="Times New Roman"/>
          <w:spacing w:val="0"/>
          <w:sz w:val="32"/>
          <w:szCs w:val="32"/>
          <w:lang w:val="en-US" w:eastAsia="zh-CN"/>
        </w:rPr>
        <w:t>符合贴息条件的</w:t>
      </w:r>
      <w:r>
        <w:rPr>
          <w:rFonts w:hint="default" w:ascii="Times New Roman" w:hAnsi="Times New Roman" w:eastAsia="方正仿宋_GBK" w:cs="Times New Roman"/>
          <w:spacing w:val="0"/>
          <w:sz w:val="32"/>
          <w:szCs w:val="32"/>
          <w:lang w:eastAsia="zh-CN"/>
        </w:rPr>
        <w:t>贷款主体（打卡时注明</w:t>
      </w:r>
      <w:r>
        <w:rPr>
          <w:rFonts w:hint="eastAsia" w:ascii="Times New Roman" w:hAnsi="Times New Roman" w:eastAsia="方正仿宋_GBK" w:cs="Times New Roman"/>
          <w:spacing w:val="0"/>
          <w:sz w:val="32"/>
          <w:szCs w:val="32"/>
          <w:lang w:eastAsia="zh-CN"/>
        </w:rPr>
        <w:t>“</w:t>
      </w:r>
      <w:r>
        <w:rPr>
          <w:rFonts w:hint="default" w:ascii="Times New Roman" w:hAnsi="Times New Roman" w:eastAsia="方正仿宋_GBK" w:cs="Times New Roman"/>
          <w:spacing w:val="0"/>
          <w:sz w:val="32"/>
          <w:szCs w:val="32"/>
          <w:lang w:eastAsia="zh-CN"/>
        </w:rPr>
        <w:t>设施农业建设</w:t>
      </w:r>
      <w:r>
        <w:rPr>
          <w:rFonts w:hint="default" w:ascii="Times New Roman" w:hAnsi="Times New Roman" w:eastAsia="方正仿宋_GBK" w:cs="Times New Roman"/>
          <w:spacing w:val="0"/>
          <w:sz w:val="32"/>
          <w:szCs w:val="32"/>
          <w:lang w:val="en-US" w:eastAsia="zh-CN"/>
        </w:rPr>
        <w:t>项目</w:t>
      </w:r>
      <w:r>
        <w:rPr>
          <w:rFonts w:hint="default" w:ascii="Times New Roman" w:hAnsi="Times New Roman" w:eastAsia="方正仿宋_GBK" w:cs="Times New Roman"/>
          <w:spacing w:val="0"/>
          <w:sz w:val="32"/>
          <w:szCs w:val="32"/>
          <w:lang w:eastAsia="zh-CN"/>
        </w:rPr>
        <w:t>贷款贴息资金</w:t>
      </w:r>
      <w:r>
        <w:rPr>
          <w:rFonts w:hint="eastAsia" w:ascii="Times New Roman" w:hAnsi="Times New Roman" w:eastAsia="方正仿宋_GBK" w:cs="Times New Roman"/>
          <w:spacing w:val="0"/>
          <w:sz w:val="32"/>
          <w:szCs w:val="32"/>
          <w:lang w:eastAsia="zh-CN"/>
        </w:rPr>
        <w:t>”</w:t>
      </w:r>
      <w:r>
        <w:rPr>
          <w:rFonts w:hint="default" w:ascii="Times New Roman" w:hAnsi="Times New Roman" w:eastAsia="方正仿宋_GBK" w:cs="Times New Roman"/>
          <w:spacing w:val="0"/>
          <w:sz w:val="32"/>
          <w:szCs w:val="32"/>
          <w:lang w:eastAsia="zh-CN"/>
        </w:rPr>
        <w:t>）。</w:t>
      </w:r>
    </w:p>
    <w:p w14:paraId="269E2A1C">
      <w:pPr>
        <w:keepNext w:val="0"/>
        <w:keepLines w:val="0"/>
        <w:pageBreakBefore w:val="0"/>
        <w:widowControl w:val="0"/>
        <w:kinsoku/>
        <w:wordWrap/>
        <w:overflowPunct w:val="0"/>
        <w:topLinePunct/>
        <w:autoSpaceDE/>
        <w:autoSpaceDN/>
        <w:bidi w:val="0"/>
        <w:spacing w:line="560" w:lineRule="exact"/>
        <w:ind w:left="0" w:leftChars="0" w:right="0" w:rightChars="0" w:firstLine="611"/>
        <w:jc w:val="both"/>
        <w:rPr>
          <w:rFonts w:hint="default" w:ascii="Times New Roman" w:hAnsi="Times New Roman" w:eastAsia="方正仿宋_GBK" w:cs="Times New Roman"/>
          <w:spacing w:val="0"/>
          <w:sz w:val="32"/>
          <w:szCs w:val="32"/>
        </w:rPr>
      </w:pPr>
      <w:r>
        <w:rPr>
          <w:rFonts w:hint="default" w:ascii="Times New Roman" w:hAnsi="Times New Roman" w:eastAsia="方正楷体_GBK" w:cs="Times New Roman"/>
          <w:spacing w:val="0"/>
          <w:kern w:val="2"/>
          <w:sz w:val="32"/>
          <w:szCs w:val="32"/>
          <w:lang w:val="en-US" w:eastAsia="zh-CN" w:bidi="ar-SA"/>
        </w:rPr>
        <w:t>（五）贴息</w:t>
      </w:r>
      <w:r>
        <w:rPr>
          <w:rFonts w:hint="default" w:ascii="Times New Roman" w:hAnsi="Times New Roman" w:eastAsia="方正楷体_GBK" w:cs="Times New Roman"/>
          <w:spacing w:val="0"/>
          <w:sz w:val="32"/>
          <w:szCs w:val="32"/>
        </w:rPr>
        <w:t>资金抽查。</w:t>
      </w:r>
      <w:r>
        <w:rPr>
          <w:rFonts w:hint="default" w:ascii="Times New Roman" w:hAnsi="Times New Roman" w:eastAsia="方正仿宋_GBK" w:cs="Times New Roman"/>
          <w:spacing w:val="0"/>
          <w:sz w:val="32"/>
          <w:szCs w:val="32"/>
        </w:rPr>
        <w:t>贴息资金拨付情况</w:t>
      </w:r>
      <w:r>
        <w:rPr>
          <w:rFonts w:hint="default" w:ascii="Times New Roman" w:hAnsi="Times New Roman" w:eastAsia="方正仿宋_GBK" w:cs="Times New Roman"/>
          <w:spacing w:val="0"/>
          <w:sz w:val="32"/>
          <w:szCs w:val="32"/>
          <w:lang w:eastAsia="zh-CN"/>
        </w:rPr>
        <w:t>于贴息资金拨付</w:t>
      </w:r>
      <w:r>
        <w:rPr>
          <w:rFonts w:hint="default" w:ascii="Times New Roman" w:hAnsi="Times New Roman" w:eastAsia="方正仿宋_GBK" w:cs="Times New Roman"/>
          <w:spacing w:val="0"/>
          <w:sz w:val="32"/>
          <w:szCs w:val="32"/>
          <w:lang w:val="en-US" w:eastAsia="zh-CN"/>
        </w:rPr>
        <w:t>主体</w:t>
      </w:r>
      <w:r>
        <w:rPr>
          <w:rFonts w:hint="default" w:ascii="Times New Roman" w:hAnsi="Times New Roman" w:eastAsia="方正仿宋_GBK" w:cs="Times New Roman"/>
          <w:spacing w:val="0"/>
          <w:sz w:val="32"/>
          <w:szCs w:val="32"/>
          <w:lang w:eastAsia="zh-CN"/>
        </w:rPr>
        <w:t>后</w:t>
      </w:r>
      <w:r>
        <w:rPr>
          <w:rFonts w:hint="default" w:ascii="Times New Roman" w:hAnsi="Times New Roman" w:eastAsia="方正仿宋_GBK" w:cs="Times New Roman"/>
          <w:spacing w:val="0"/>
          <w:sz w:val="32"/>
          <w:szCs w:val="32"/>
          <w:lang w:val="en-US" w:eastAsia="zh-CN"/>
        </w:rPr>
        <w:t>1个月内由</w:t>
      </w:r>
      <w:r>
        <w:rPr>
          <w:rFonts w:hint="default" w:ascii="Times New Roman" w:hAnsi="Times New Roman" w:eastAsia="方正仿宋_GBK" w:cs="Times New Roman"/>
          <w:spacing w:val="0"/>
          <w:sz w:val="32"/>
          <w:szCs w:val="32"/>
        </w:rPr>
        <w:t>各</w:t>
      </w:r>
      <w:r>
        <w:rPr>
          <w:rFonts w:hint="default" w:ascii="Times New Roman" w:hAnsi="Times New Roman" w:eastAsia="方正仿宋_GBK" w:cs="Times New Roman"/>
          <w:spacing w:val="0"/>
          <w:sz w:val="32"/>
          <w:szCs w:val="32"/>
          <w:lang w:val="en-US" w:eastAsia="zh-CN"/>
        </w:rPr>
        <w:t>设区市</w:t>
      </w:r>
      <w:r>
        <w:rPr>
          <w:rFonts w:hint="default" w:ascii="Times New Roman" w:hAnsi="Times New Roman" w:eastAsia="方正仿宋_GBK" w:cs="Times New Roman"/>
          <w:spacing w:val="0"/>
          <w:sz w:val="32"/>
          <w:szCs w:val="32"/>
          <w:lang w:eastAsia="zh-CN"/>
        </w:rPr>
        <w:t>财政部门会同</w:t>
      </w:r>
      <w:r>
        <w:rPr>
          <w:rFonts w:hint="default" w:ascii="Times New Roman" w:hAnsi="Times New Roman" w:eastAsia="方正仿宋_GBK" w:cs="Times New Roman"/>
          <w:spacing w:val="0"/>
          <w:sz w:val="32"/>
          <w:szCs w:val="32"/>
        </w:rPr>
        <w:t>农业农村部门报送省财政厅</w:t>
      </w:r>
      <w:r>
        <w:rPr>
          <w:rFonts w:hint="default" w:ascii="Times New Roman" w:hAnsi="Times New Roman" w:eastAsia="方正仿宋_GBK" w:cs="Times New Roman"/>
          <w:spacing w:val="0"/>
          <w:sz w:val="32"/>
          <w:szCs w:val="32"/>
          <w:lang w:eastAsia="zh-CN"/>
        </w:rPr>
        <w:t>、</w:t>
      </w:r>
      <w:r>
        <w:rPr>
          <w:rFonts w:hint="default" w:ascii="Times New Roman" w:hAnsi="Times New Roman" w:eastAsia="方正仿宋_GBK" w:cs="Times New Roman"/>
          <w:spacing w:val="0"/>
          <w:sz w:val="32"/>
          <w:szCs w:val="32"/>
        </w:rPr>
        <w:t>省农业农村厅</w:t>
      </w:r>
      <w:r>
        <w:rPr>
          <w:rFonts w:hint="default" w:ascii="Times New Roman" w:hAnsi="Times New Roman" w:eastAsia="方正仿宋_GBK" w:cs="Times New Roman"/>
          <w:spacing w:val="0"/>
          <w:sz w:val="32"/>
          <w:szCs w:val="32"/>
          <w:lang w:eastAsia="zh-CN"/>
        </w:rPr>
        <w:t>，</w:t>
      </w:r>
      <w:r>
        <w:rPr>
          <w:rFonts w:hint="default" w:ascii="Times New Roman" w:hAnsi="Times New Roman" w:eastAsia="方正仿宋_GBK" w:cs="Times New Roman"/>
          <w:spacing w:val="0"/>
          <w:sz w:val="32"/>
          <w:szCs w:val="32"/>
        </w:rPr>
        <w:t>省财政厅</w:t>
      </w:r>
      <w:r>
        <w:rPr>
          <w:rFonts w:hint="default" w:ascii="Times New Roman" w:hAnsi="Times New Roman" w:eastAsia="方正仿宋_GBK" w:cs="Times New Roman"/>
          <w:spacing w:val="0"/>
          <w:sz w:val="32"/>
          <w:szCs w:val="32"/>
          <w:lang w:eastAsia="zh-CN"/>
        </w:rPr>
        <w:t>会同</w:t>
      </w:r>
      <w:r>
        <w:rPr>
          <w:rFonts w:hint="default" w:ascii="Times New Roman" w:hAnsi="Times New Roman" w:eastAsia="方正仿宋_GBK" w:cs="Times New Roman"/>
          <w:spacing w:val="0"/>
          <w:sz w:val="32"/>
          <w:szCs w:val="32"/>
        </w:rPr>
        <w:t>省农业农村厅</w:t>
      </w:r>
      <w:r>
        <w:rPr>
          <w:rFonts w:hint="default" w:ascii="Times New Roman" w:hAnsi="Times New Roman" w:eastAsia="方正仿宋_GBK" w:cs="Times New Roman"/>
          <w:spacing w:val="0"/>
          <w:sz w:val="32"/>
          <w:szCs w:val="32"/>
          <w:lang w:eastAsia="zh-CN"/>
        </w:rPr>
        <w:t>视情况</w:t>
      </w:r>
      <w:r>
        <w:rPr>
          <w:rFonts w:hint="default" w:ascii="Times New Roman" w:hAnsi="Times New Roman" w:eastAsia="方正仿宋_GBK" w:cs="Times New Roman"/>
          <w:spacing w:val="0"/>
          <w:sz w:val="32"/>
          <w:szCs w:val="32"/>
        </w:rPr>
        <w:t>对项目真实性、数据准确性开展抽查。</w:t>
      </w:r>
    </w:p>
    <w:p w14:paraId="74F29587">
      <w:pPr>
        <w:keepNext w:val="0"/>
        <w:keepLines w:val="0"/>
        <w:pageBreakBefore w:val="0"/>
        <w:widowControl w:val="0"/>
        <w:kinsoku/>
        <w:wordWrap/>
        <w:overflowPunct w:val="0"/>
        <w:topLinePunct/>
        <w:autoSpaceDE/>
        <w:autoSpaceDN/>
        <w:bidi w:val="0"/>
        <w:spacing w:line="560" w:lineRule="exact"/>
        <w:ind w:left="0" w:leftChars="0" w:right="0" w:rightChars="0" w:firstLine="640" w:firstLineChars="200"/>
        <w:jc w:val="both"/>
        <w:outlineLvl w:val="2"/>
        <w:rPr>
          <w:rFonts w:hint="default" w:ascii="Times New Roman" w:hAnsi="Times New Roman" w:eastAsia="方正黑体_GBK" w:cs="Times New Roman"/>
          <w:sz w:val="32"/>
          <w:szCs w:val="32"/>
        </w:rPr>
      </w:pPr>
      <w:r>
        <w:rPr>
          <w:rFonts w:hint="default" w:ascii="Times New Roman" w:hAnsi="Times New Roman" w:eastAsia="方正黑体_GBK" w:cs="Times New Roman"/>
          <w:spacing w:val="0"/>
          <w:sz w:val="32"/>
          <w:szCs w:val="32"/>
        </w:rPr>
        <w:t>五、强化服务</w:t>
      </w:r>
    </w:p>
    <w:p w14:paraId="510FAE32">
      <w:pPr>
        <w:keepNext w:val="0"/>
        <w:keepLines w:val="0"/>
        <w:pageBreakBefore w:val="0"/>
        <w:widowControl w:val="0"/>
        <w:kinsoku/>
        <w:wordWrap/>
        <w:overflowPunct w:val="0"/>
        <w:topLinePunct/>
        <w:autoSpaceDE/>
        <w:autoSpaceDN/>
        <w:bidi w:val="0"/>
        <w:spacing w:line="560" w:lineRule="exact"/>
        <w:ind w:left="0" w:leftChars="0" w:right="0" w:rightChars="0" w:firstLine="610"/>
        <w:jc w:val="both"/>
        <w:rPr>
          <w:rFonts w:hint="default" w:ascii="Times New Roman" w:hAnsi="Times New Roman" w:eastAsia="方正仿宋_GBK" w:cs="Times New Roman"/>
          <w:sz w:val="32"/>
          <w:szCs w:val="32"/>
        </w:rPr>
      </w:pPr>
      <w:r>
        <w:rPr>
          <w:rFonts w:hint="default" w:ascii="Times New Roman" w:hAnsi="Times New Roman" w:eastAsia="方正楷体_GBK" w:cs="Times New Roman"/>
          <w:spacing w:val="0"/>
          <w:sz w:val="32"/>
          <w:szCs w:val="32"/>
        </w:rPr>
        <w:t>（一）加强</w:t>
      </w:r>
      <w:r>
        <w:rPr>
          <w:rFonts w:hint="eastAsia" w:ascii="Times New Roman" w:hAnsi="Times New Roman" w:eastAsia="方正楷体_GBK" w:cs="Times New Roman"/>
          <w:spacing w:val="0"/>
          <w:sz w:val="32"/>
          <w:szCs w:val="32"/>
          <w:lang w:eastAsia="zh-CN"/>
        </w:rPr>
        <w:t>“</w:t>
      </w:r>
      <w:r>
        <w:rPr>
          <w:rFonts w:hint="default" w:ascii="Times New Roman" w:hAnsi="Times New Roman" w:eastAsia="方正楷体_GBK" w:cs="Times New Roman"/>
          <w:spacing w:val="0"/>
          <w:sz w:val="32"/>
          <w:szCs w:val="32"/>
        </w:rPr>
        <w:t>免申即享</w:t>
      </w:r>
      <w:r>
        <w:rPr>
          <w:rFonts w:hint="eastAsia" w:ascii="Times New Roman" w:hAnsi="Times New Roman" w:eastAsia="方正楷体_GBK" w:cs="Times New Roman"/>
          <w:spacing w:val="0"/>
          <w:sz w:val="32"/>
          <w:szCs w:val="32"/>
          <w:lang w:eastAsia="zh-CN"/>
        </w:rPr>
        <w:t>”</w:t>
      </w:r>
      <w:r>
        <w:rPr>
          <w:rFonts w:hint="default" w:ascii="Times New Roman" w:hAnsi="Times New Roman" w:eastAsia="方正楷体_GBK" w:cs="Times New Roman"/>
          <w:spacing w:val="0"/>
          <w:sz w:val="32"/>
          <w:szCs w:val="32"/>
        </w:rPr>
        <w:t>。</w:t>
      </w:r>
      <w:r>
        <w:rPr>
          <w:rFonts w:hint="default" w:ascii="Times New Roman" w:hAnsi="Times New Roman" w:eastAsia="方正仿宋_GBK" w:cs="Times New Roman"/>
          <w:spacing w:val="0"/>
          <w:sz w:val="32"/>
          <w:szCs w:val="32"/>
        </w:rPr>
        <w:t>各级农业农村、财政部门</w:t>
      </w:r>
      <w:r>
        <w:rPr>
          <w:rFonts w:hint="default" w:ascii="Times New Roman" w:hAnsi="Times New Roman" w:eastAsia="方正仿宋_GBK" w:cs="Times New Roman"/>
          <w:spacing w:val="0"/>
          <w:sz w:val="32"/>
          <w:szCs w:val="32"/>
          <w:lang w:eastAsia="zh-CN"/>
        </w:rPr>
        <w:t>、农担公司、</w:t>
      </w:r>
      <w:r>
        <w:rPr>
          <w:rFonts w:hint="default" w:ascii="Times New Roman" w:hAnsi="Times New Roman" w:eastAsia="方正仿宋_GBK" w:cs="Times New Roman"/>
          <w:spacing w:val="0"/>
          <w:sz w:val="32"/>
          <w:szCs w:val="32"/>
          <w:lang w:val="en-US" w:eastAsia="zh-CN"/>
        </w:rPr>
        <w:t>合作银行</w:t>
      </w:r>
      <w:r>
        <w:rPr>
          <w:rFonts w:hint="default" w:ascii="Times New Roman" w:hAnsi="Times New Roman" w:eastAsia="方正仿宋_GBK" w:cs="Times New Roman"/>
          <w:spacing w:val="0"/>
          <w:sz w:val="32"/>
          <w:szCs w:val="32"/>
        </w:rPr>
        <w:t>要持续加强政策宣传，将贷款贴息惠农政策告知各类经营主体，扩大知晓范围，确保应享尽享。</w:t>
      </w:r>
      <w:r>
        <w:rPr>
          <w:rFonts w:hint="default" w:ascii="Times New Roman" w:hAnsi="Times New Roman" w:eastAsia="方正仿宋_GBK" w:cs="Times New Roman"/>
          <w:spacing w:val="0"/>
          <w:sz w:val="32"/>
          <w:szCs w:val="32"/>
          <w:highlight w:val="none"/>
        </w:rPr>
        <w:t>贴息政策</w:t>
      </w:r>
      <w:r>
        <w:rPr>
          <w:rFonts w:hint="default" w:ascii="Times New Roman" w:hAnsi="Times New Roman" w:eastAsia="方正仿宋_GBK" w:cs="Times New Roman"/>
          <w:spacing w:val="0"/>
          <w:sz w:val="32"/>
          <w:szCs w:val="32"/>
          <w:highlight w:val="none"/>
          <w:lang w:val="en-US" w:eastAsia="zh-CN"/>
        </w:rPr>
        <w:t>落实</w:t>
      </w:r>
      <w:r>
        <w:rPr>
          <w:rFonts w:hint="default" w:ascii="Times New Roman" w:hAnsi="Times New Roman" w:eastAsia="方正仿宋_GBK" w:cs="Times New Roman"/>
          <w:spacing w:val="0"/>
          <w:sz w:val="32"/>
          <w:szCs w:val="32"/>
          <w:highlight w:val="none"/>
        </w:rPr>
        <w:t>采取</w:t>
      </w:r>
      <w:r>
        <w:rPr>
          <w:rFonts w:hint="default" w:ascii="Times New Roman" w:hAnsi="Times New Roman" w:eastAsia="方正仿宋_GBK" w:cs="Times New Roman"/>
          <w:spacing w:val="0"/>
          <w:sz w:val="32"/>
          <w:szCs w:val="32"/>
          <w:highlight w:val="none"/>
          <w:lang w:val="en-US" w:eastAsia="zh-CN"/>
        </w:rPr>
        <w:t>贷款主体与省农担公司签订委托书，由省农担公司代为</w:t>
      </w:r>
      <w:r>
        <w:rPr>
          <w:rFonts w:hint="default" w:ascii="Times New Roman" w:hAnsi="Times New Roman" w:eastAsia="方正仿宋_GBK" w:cs="Times New Roman"/>
          <w:spacing w:val="0"/>
          <w:sz w:val="32"/>
          <w:szCs w:val="32"/>
          <w:highlight w:val="none"/>
        </w:rPr>
        <w:t>申报</w:t>
      </w:r>
      <w:r>
        <w:rPr>
          <w:rFonts w:hint="default" w:ascii="Times New Roman" w:hAnsi="Times New Roman" w:eastAsia="方正仿宋_GBK" w:cs="Times New Roman"/>
          <w:spacing w:val="0"/>
          <w:sz w:val="32"/>
          <w:szCs w:val="32"/>
          <w:highlight w:val="none"/>
          <w:lang w:eastAsia="zh-CN"/>
        </w:rPr>
        <w:t>。</w:t>
      </w:r>
      <w:r>
        <w:rPr>
          <w:rFonts w:hint="default" w:ascii="Times New Roman" w:hAnsi="Times New Roman" w:eastAsia="方正仿宋_GBK" w:cs="Times New Roman"/>
          <w:spacing w:val="0"/>
          <w:sz w:val="32"/>
          <w:szCs w:val="32"/>
          <w:lang w:val="en-US" w:eastAsia="zh-CN"/>
        </w:rPr>
        <w:t>各级</w:t>
      </w:r>
      <w:r>
        <w:rPr>
          <w:rFonts w:hint="default" w:ascii="Times New Roman" w:hAnsi="Times New Roman" w:eastAsia="方正仿宋_GBK" w:cs="Times New Roman"/>
          <w:spacing w:val="0"/>
          <w:sz w:val="32"/>
          <w:szCs w:val="32"/>
        </w:rPr>
        <w:t>农业农村、财政部门</w:t>
      </w:r>
      <w:r>
        <w:rPr>
          <w:rFonts w:hint="default" w:ascii="Times New Roman" w:hAnsi="Times New Roman" w:eastAsia="方正仿宋_GBK" w:cs="Times New Roman"/>
          <w:spacing w:val="0"/>
          <w:sz w:val="32"/>
          <w:szCs w:val="32"/>
          <w:lang w:eastAsia="zh-CN"/>
        </w:rPr>
        <w:t>，</w:t>
      </w:r>
      <w:r>
        <w:rPr>
          <w:rFonts w:hint="default" w:ascii="Times New Roman" w:hAnsi="Times New Roman" w:eastAsia="方正仿宋_GBK" w:cs="Times New Roman"/>
          <w:spacing w:val="0"/>
          <w:sz w:val="32"/>
          <w:szCs w:val="32"/>
        </w:rPr>
        <w:t>省农担公司及合作银行要切实加强支农服务意识，切实为贷款主体提供便捷、高效、优质的金融支持和服务。</w:t>
      </w:r>
    </w:p>
    <w:p w14:paraId="2DDB2CC1">
      <w:pPr>
        <w:keepNext w:val="0"/>
        <w:keepLines w:val="0"/>
        <w:pageBreakBefore w:val="0"/>
        <w:widowControl w:val="0"/>
        <w:kinsoku/>
        <w:wordWrap/>
        <w:overflowPunct w:val="0"/>
        <w:topLinePunct/>
        <w:autoSpaceDE/>
        <w:autoSpaceDN/>
        <w:bidi w:val="0"/>
        <w:spacing w:line="560" w:lineRule="exact"/>
        <w:ind w:left="0" w:leftChars="0" w:right="0" w:rightChars="0" w:firstLine="615"/>
        <w:jc w:val="both"/>
        <w:rPr>
          <w:rFonts w:hint="default" w:ascii="Times New Roman" w:hAnsi="Times New Roman" w:eastAsia="方正仿宋_GBK" w:cs="Times New Roman"/>
          <w:sz w:val="31"/>
          <w:szCs w:val="31"/>
          <w:lang w:val="en-US" w:eastAsia="zh-CN"/>
        </w:rPr>
      </w:pPr>
      <w:r>
        <w:rPr>
          <w:rFonts w:hint="default" w:ascii="Times New Roman" w:hAnsi="Times New Roman" w:eastAsia="方正楷体_GBK" w:cs="Times New Roman"/>
          <w:spacing w:val="0"/>
          <w:sz w:val="32"/>
          <w:szCs w:val="32"/>
        </w:rPr>
        <w:t>（二）明确职责分工。</w:t>
      </w:r>
      <w:r>
        <w:rPr>
          <w:rFonts w:hint="default" w:ascii="Times New Roman" w:hAnsi="Times New Roman" w:eastAsia="方正仿宋_GBK" w:cs="Times New Roman"/>
          <w:spacing w:val="0"/>
          <w:sz w:val="32"/>
          <w:szCs w:val="32"/>
        </w:rPr>
        <w:t>各级农业农村、财政部门主要负责政策制定及优化完善、宣传发动、贴息资金</w:t>
      </w:r>
      <w:r>
        <w:rPr>
          <w:rFonts w:hint="default" w:ascii="Times New Roman" w:hAnsi="Times New Roman" w:eastAsia="方正仿宋_GBK" w:cs="Times New Roman"/>
          <w:spacing w:val="0"/>
          <w:sz w:val="32"/>
          <w:szCs w:val="32"/>
          <w:lang w:val="en-US" w:eastAsia="zh-CN"/>
        </w:rPr>
        <w:t>拨付</w:t>
      </w:r>
      <w:r>
        <w:rPr>
          <w:rFonts w:hint="default" w:ascii="Times New Roman" w:hAnsi="Times New Roman" w:eastAsia="方正仿宋_GBK" w:cs="Times New Roman"/>
          <w:spacing w:val="0"/>
          <w:sz w:val="32"/>
          <w:szCs w:val="32"/>
        </w:rPr>
        <w:t>、事后</w:t>
      </w:r>
      <w:r>
        <w:rPr>
          <w:rFonts w:hint="default" w:ascii="Times New Roman" w:hAnsi="Times New Roman" w:eastAsia="方正仿宋_GBK" w:cs="Times New Roman"/>
          <w:spacing w:val="0"/>
          <w:sz w:val="32"/>
          <w:szCs w:val="32"/>
          <w:lang w:val="en-US" w:eastAsia="zh-CN"/>
        </w:rPr>
        <w:t>抽</w:t>
      </w:r>
      <w:r>
        <w:rPr>
          <w:rFonts w:hint="default" w:ascii="Times New Roman" w:hAnsi="Times New Roman" w:eastAsia="方正仿宋_GBK" w:cs="Times New Roman"/>
          <w:spacing w:val="0"/>
          <w:sz w:val="32"/>
          <w:szCs w:val="32"/>
        </w:rPr>
        <w:t>查监督和绩效管理。省农担公司负责优选金融机构及担保机构创新设立</w:t>
      </w:r>
      <w:r>
        <w:rPr>
          <w:rFonts w:hint="eastAsia" w:ascii="Times New Roman" w:hAnsi="Times New Roman" w:eastAsia="方正仿宋_GBK" w:cs="Times New Roman"/>
          <w:spacing w:val="0"/>
          <w:sz w:val="32"/>
          <w:szCs w:val="32"/>
          <w:lang w:eastAsia="zh-CN"/>
        </w:rPr>
        <w:t>“</w:t>
      </w:r>
      <w:r>
        <w:rPr>
          <w:rFonts w:hint="default" w:ascii="Times New Roman" w:hAnsi="Times New Roman" w:eastAsia="方正仿宋_GBK" w:cs="Times New Roman"/>
          <w:spacing w:val="0"/>
          <w:sz w:val="32"/>
          <w:szCs w:val="32"/>
          <w:lang w:eastAsia="zh-CN"/>
        </w:rPr>
        <w:t>设施农担贷</w:t>
      </w:r>
      <w:r>
        <w:rPr>
          <w:rFonts w:hint="eastAsia" w:ascii="Times New Roman" w:hAnsi="Times New Roman" w:eastAsia="方正仿宋_GBK" w:cs="Times New Roman"/>
          <w:spacing w:val="0"/>
          <w:sz w:val="32"/>
          <w:szCs w:val="32"/>
          <w:lang w:eastAsia="zh-CN"/>
        </w:rPr>
        <w:t>”</w:t>
      </w:r>
      <w:r>
        <w:rPr>
          <w:rFonts w:hint="default" w:ascii="Times New Roman" w:hAnsi="Times New Roman" w:eastAsia="方正仿宋_GBK" w:cs="Times New Roman"/>
          <w:spacing w:val="0"/>
          <w:sz w:val="32"/>
          <w:szCs w:val="32"/>
        </w:rPr>
        <w:t>专属产品并</w:t>
      </w:r>
      <w:r>
        <w:rPr>
          <w:rFonts w:hint="default" w:ascii="Times New Roman" w:hAnsi="Times New Roman" w:eastAsia="方正仿宋_GBK" w:cs="Times New Roman"/>
          <w:color w:val="000000"/>
          <w:sz w:val="32"/>
          <w:szCs w:val="32"/>
        </w:rPr>
        <w:t>提供增信担保支持</w:t>
      </w:r>
      <w:r>
        <w:rPr>
          <w:rFonts w:hint="default" w:ascii="Times New Roman" w:hAnsi="Times New Roman" w:eastAsia="方正仿宋_GBK" w:cs="Times New Roman"/>
          <w:spacing w:val="0"/>
          <w:sz w:val="32"/>
          <w:szCs w:val="32"/>
        </w:rPr>
        <w:t>，负责贴息资金初审工作等。</w:t>
      </w:r>
      <w:r>
        <w:rPr>
          <w:rFonts w:hint="default" w:ascii="Times New Roman" w:hAnsi="Times New Roman" w:eastAsia="方正仿宋_GBK" w:cs="Times New Roman"/>
          <w:spacing w:val="0"/>
          <w:sz w:val="32"/>
          <w:szCs w:val="32"/>
          <w:shd w:val="clear" w:color="auto" w:fill="auto"/>
          <w:lang w:bidi="ar-SA"/>
        </w:rPr>
        <w:t>合作银行负责落实优惠贷款利率政策，配合省农担公司做好贴息申报工作，及时、准确提供</w:t>
      </w:r>
      <w:r>
        <w:rPr>
          <w:rFonts w:hint="default" w:ascii="Times New Roman" w:hAnsi="Times New Roman" w:eastAsia="方正仿宋_GBK" w:cs="Times New Roman"/>
          <w:spacing w:val="0"/>
          <w:sz w:val="32"/>
          <w:szCs w:val="32"/>
        </w:rPr>
        <w:t>贷款合同、</w:t>
      </w:r>
      <w:r>
        <w:rPr>
          <w:rFonts w:hint="default" w:ascii="Times New Roman" w:hAnsi="Times New Roman" w:eastAsia="方正仿宋_GBK" w:cs="Times New Roman"/>
          <w:spacing w:val="0"/>
          <w:sz w:val="32"/>
          <w:szCs w:val="32"/>
          <w:lang w:val="en-US" w:eastAsia="zh-CN"/>
        </w:rPr>
        <w:t>放款</w:t>
      </w:r>
      <w:r>
        <w:rPr>
          <w:rFonts w:hint="default" w:ascii="Times New Roman" w:hAnsi="Times New Roman" w:eastAsia="方正仿宋_GBK" w:cs="Times New Roman"/>
          <w:spacing w:val="0"/>
          <w:sz w:val="32"/>
          <w:szCs w:val="32"/>
        </w:rPr>
        <w:t>凭证、付息凭证、资金用途</w:t>
      </w:r>
      <w:r>
        <w:rPr>
          <w:rFonts w:hint="default" w:ascii="Times New Roman" w:hAnsi="Times New Roman" w:eastAsia="方正仿宋_GBK" w:cs="Times New Roman"/>
          <w:spacing w:val="0"/>
          <w:sz w:val="32"/>
          <w:szCs w:val="32"/>
          <w:shd w:val="clear" w:color="auto" w:fill="auto"/>
          <w:lang w:bidi="ar-SA"/>
        </w:rPr>
        <w:t>等贴息审核所需材料。</w:t>
      </w:r>
    </w:p>
    <w:p w14:paraId="560815C9">
      <w:pPr>
        <w:keepNext w:val="0"/>
        <w:keepLines w:val="0"/>
        <w:pageBreakBefore w:val="0"/>
        <w:widowControl w:val="0"/>
        <w:kinsoku/>
        <w:wordWrap/>
        <w:overflowPunct w:val="0"/>
        <w:topLinePunct/>
        <w:autoSpaceDE/>
        <w:autoSpaceDN/>
        <w:bidi w:val="0"/>
        <w:spacing w:line="560" w:lineRule="exact"/>
        <w:ind w:left="0" w:leftChars="0" w:right="0" w:rightChars="0" w:firstLine="609"/>
        <w:jc w:val="both"/>
        <w:rPr>
          <w:rFonts w:hint="default" w:ascii="Times New Roman" w:hAnsi="Times New Roman" w:eastAsia="方正仿宋_GBK" w:cs="Times New Roman"/>
          <w:spacing w:val="0"/>
          <w:sz w:val="32"/>
          <w:szCs w:val="32"/>
        </w:rPr>
      </w:pPr>
      <w:r>
        <w:rPr>
          <w:rFonts w:hint="default" w:ascii="Times New Roman" w:hAnsi="Times New Roman" w:eastAsia="方正楷体_GBK" w:cs="Times New Roman"/>
          <w:spacing w:val="0"/>
          <w:sz w:val="32"/>
          <w:szCs w:val="32"/>
        </w:rPr>
        <w:t>（三）强化规范管理。</w:t>
      </w:r>
      <w:r>
        <w:rPr>
          <w:rFonts w:hint="default" w:ascii="Times New Roman" w:hAnsi="Times New Roman" w:eastAsia="方正仿宋_GBK" w:cs="Times New Roman"/>
          <w:spacing w:val="0"/>
          <w:sz w:val="32"/>
          <w:szCs w:val="32"/>
        </w:rPr>
        <w:t>各级农业农村部门、财政部门应当明确</w:t>
      </w:r>
      <w:r>
        <w:rPr>
          <w:rFonts w:hint="default" w:ascii="Times New Roman" w:hAnsi="Times New Roman" w:eastAsia="方正仿宋_GBK" w:cs="Times New Roman"/>
          <w:spacing w:val="0"/>
          <w:sz w:val="32"/>
          <w:szCs w:val="32"/>
          <w:lang w:val="en-US" w:eastAsia="zh-CN"/>
        </w:rPr>
        <w:t>专人</w:t>
      </w:r>
      <w:r>
        <w:rPr>
          <w:rFonts w:hint="default" w:ascii="Times New Roman" w:hAnsi="Times New Roman" w:eastAsia="方正仿宋_GBK" w:cs="Times New Roman"/>
          <w:spacing w:val="0"/>
          <w:sz w:val="32"/>
          <w:szCs w:val="32"/>
        </w:rPr>
        <w:t>负责现代设施农业贷款贴息工作</w:t>
      </w:r>
      <w:r>
        <w:rPr>
          <w:rFonts w:hint="default" w:ascii="Times New Roman" w:hAnsi="Times New Roman" w:eastAsia="方正仿宋_GBK" w:cs="Times New Roman"/>
          <w:spacing w:val="0"/>
          <w:sz w:val="32"/>
          <w:szCs w:val="32"/>
          <w:lang w:eastAsia="zh-CN"/>
        </w:rPr>
        <w:t>。</w:t>
      </w:r>
      <w:r>
        <w:rPr>
          <w:rFonts w:hint="default" w:ascii="Times New Roman" w:hAnsi="Times New Roman" w:eastAsia="方正仿宋_GBK" w:cs="Times New Roman"/>
          <w:spacing w:val="0"/>
          <w:sz w:val="32"/>
          <w:szCs w:val="32"/>
          <w:lang w:val="en-US" w:eastAsia="zh-CN"/>
        </w:rPr>
        <w:t>省农担公司、合作银行要</w:t>
      </w:r>
      <w:r>
        <w:rPr>
          <w:rFonts w:hint="default" w:ascii="Times New Roman" w:hAnsi="Times New Roman" w:eastAsia="方正仿宋_GBK" w:cs="Times New Roman"/>
          <w:spacing w:val="0"/>
          <w:sz w:val="32"/>
          <w:szCs w:val="32"/>
        </w:rPr>
        <w:t xml:space="preserve">建立并完善贴息项目档案，对贴息项目申报、审核、拨付等环节的相关文件与资料进行分类归档，以保证贴息工作有据可查。 </w:t>
      </w:r>
      <w:r>
        <w:rPr>
          <w:rFonts w:hint="default" w:ascii="Times New Roman" w:hAnsi="Times New Roman" w:eastAsia="方正仿宋_GBK" w:cs="Times New Roman"/>
          <w:spacing w:val="0"/>
          <w:sz w:val="32"/>
          <w:szCs w:val="32"/>
          <w:lang w:val="en-US" w:eastAsia="zh-CN"/>
        </w:rPr>
        <w:t>合作</w:t>
      </w:r>
      <w:r>
        <w:rPr>
          <w:rFonts w:hint="default" w:ascii="Times New Roman" w:hAnsi="Times New Roman" w:eastAsia="方正仿宋_GBK" w:cs="Times New Roman"/>
          <w:spacing w:val="0"/>
          <w:sz w:val="32"/>
          <w:szCs w:val="32"/>
        </w:rPr>
        <w:t>银行要严格履行审贷职责，做好贷款资金流向监控，严禁用于投资理财等套利活动，并通过数据标签做好分类统计，避免贷款重复享受中央财政贴息。</w:t>
      </w:r>
    </w:p>
    <w:p w14:paraId="2D7BAE1B">
      <w:pPr>
        <w:keepNext w:val="0"/>
        <w:keepLines w:val="0"/>
        <w:pageBreakBefore w:val="0"/>
        <w:widowControl w:val="0"/>
        <w:kinsoku/>
        <w:wordWrap/>
        <w:overflowPunct w:val="0"/>
        <w:autoSpaceDE/>
        <w:bidi w:val="0"/>
        <w:spacing w:line="560" w:lineRule="exact"/>
        <w:ind w:left="0" w:leftChars="0" w:right="0" w:rightChars="0" w:firstLine="609"/>
        <w:jc w:val="both"/>
        <w:rPr>
          <w:rFonts w:hint="default" w:ascii="Times New Roman" w:hAnsi="Times New Roman" w:eastAsia="方正仿宋_GBK" w:cs="Times New Roman"/>
          <w:spacing w:val="0"/>
          <w:sz w:val="32"/>
          <w:szCs w:val="32"/>
        </w:rPr>
      </w:pPr>
    </w:p>
    <w:p w14:paraId="7801176E">
      <w:pPr>
        <w:keepNext w:val="0"/>
        <w:keepLines w:val="0"/>
        <w:pageBreakBefore w:val="0"/>
        <w:widowControl w:val="0"/>
        <w:kinsoku/>
        <w:wordWrap/>
        <w:overflowPunct w:val="0"/>
        <w:autoSpaceDE/>
        <w:bidi w:val="0"/>
        <w:spacing w:line="560" w:lineRule="exact"/>
        <w:ind w:left="0" w:leftChars="0" w:right="0" w:rightChars="0" w:firstLine="609"/>
        <w:jc w:val="both"/>
        <w:rPr>
          <w:rFonts w:hint="default" w:ascii="Times New Roman" w:hAnsi="Times New Roman" w:eastAsia="方正仿宋_GBK" w:cs="Times New Roman"/>
          <w:spacing w:val="0"/>
          <w:sz w:val="32"/>
          <w:szCs w:val="32"/>
          <w:lang w:val="en-US" w:eastAsia="zh-CN"/>
        </w:rPr>
      </w:pPr>
      <w:r>
        <w:rPr>
          <w:rFonts w:hint="default" w:ascii="Times New Roman" w:hAnsi="Times New Roman" w:eastAsia="方正仿宋_GBK" w:cs="Times New Roman"/>
          <w:spacing w:val="0"/>
          <w:sz w:val="32"/>
          <w:szCs w:val="32"/>
          <w:lang w:val="en-US" w:eastAsia="zh-CN"/>
        </w:rPr>
        <w:t>附件：现代设施农业建设贷款用途目录</w:t>
      </w:r>
    </w:p>
    <w:p w14:paraId="541DD817">
      <w:pPr>
        <w:spacing w:line="570" w:lineRule="exact"/>
        <w:ind w:firstLine="609"/>
        <w:rPr>
          <w:rFonts w:hint="default" w:ascii="Times New Roman" w:hAnsi="Times New Roman" w:eastAsia="方正仿宋_GBK" w:cs="Times New Roman"/>
          <w:spacing w:val="0"/>
          <w:sz w:val="32"/>
          <w:szCs w:val="32"/>
          <w:lang w:val="en-US" w:eastAsia="zh-CN"/>
        </w:rPr>
      </w:pPr>
    </w:p>
    <w:p w14:paraId="70E96688">
      <w:pPr>
        <w:spacing w:line="570" w:lineRule="exact"/>
        <w:ind w:firstLine="609"/>
        <w:rPr>
          <w:rFonts w:hint="default" w:ascii="Times New Roman" w:hAnsi="Times New Roman" w:eastAsia="方正仿宋_GBK" w:cs="Times New Roman"/>
          <w:spacing w:val="0"/>
          <w:sz w:val="32"/>
          <w:szCs w:val="32"/>
          <w:lang w:val="en-US" w:eastAsia="zh-CN"/>
        </w:rPr>
      </w:pPr>
    </w:p>
    <w:p w14:paraId="7222AADB">
      <w:pPr>
        <w:spacing w:line="570" w:lineRule="exact"/>
        <w:ind w:firstLine="609"/>
        <w:rPr>
          <w:rFonts w:hint="default" w:ascii="Times New Roman" w:hAnsi="Times New Roman" w:eastAsia="方正仿宋_GBK" w:cs="Times New Roman"/>
          <w:spacing w:val="0"/>
          <w:sz w:val="32"/>
          <w:szCs w:val="32"/>
          <w:lang w:val="en-US" w:eastAsia="zh-CN"/>
        </w:rPr>
      </w:pPr>
    </w:p>
    <w:p w14:paraId="0BC8043C">
      <w:pPr>
        <w:spacing w:line="570" w:lineRule="exact"/>
        <w:ind w:firstLine="609"/>
        <w:rPr>
          <w:rFonts w:hint="default" w:ascii="Times New Roman" w:hAnsi="Times New Roman" w:eastAsia="方正仿宋_GBK" w:cs="Times New Roman"/>
          <w:spacing w:val="0"/>
          <w:sz w:val="32"/>
          <w:szCs w:val="32"/>
          <w:lang w:val="en-US" w:eastAsia="zh-CN"/>
        </w:rPr>
      </w:pPr>
    </w:p>
    <w:p w14:paraId="22BC2EE1">
      <w:pPr>
        <w:pStyle w:val="2"/>
        <w:rPr>
          <w:rFonts w:hint="default" w:ascii="Times New Roman" w:hAnsi="Times New Roman" w:cs="Times New Roman"/>
          <w:lang w:val="en-US" w:eastAsia="zh-CN"/>
        </w:rPr>
      </w:pPr>
    </w:p>
    <w:p w14:paraId="3E0FCB59">
      <w:pPr>
        <w:tabs>
          <w:tab w:val="left" w:pos="1416"/>
        </w:tabs>
        <w:rPr>
          <w:rFonts w:hint="default" w:ascii="Times New Roman" w:hAnsi="Times New Roman" w:eastAsia="方正仿宋_GBK" w:cs="Times New Roman"/>
          <w:color w:val="000000"/>
          <w:sz w:val="28"/>
          <w:szCs w:val="28"/>
          <w:u w:val="none"/>
          <w:lang w:bidi="ar-SA"/>
        </w:rPr>
      </w:pPr>
      <w:r>
        <w:rPr>
          <w:rFonts w:hint="default" w:ascii="Times New Roman" w:hAnsi="Times New Roman" w:eastAsia="方正黑体_GBK" w:cs="Times New Roman"/>
          <w:color w:val="000000"/>
          <w:kern w:val="0"/>
          <w:sz w:val="32"/>
          <w:szCs w:val="32"/>
          <w:u w:val="none"/>
          <w:lang w:val="en-US" w:eastAsia="zh-CN" w:bidi="ar"/>
        </w:rPr>
        <w:t>附件</w:t>
      </w:r>
      <w:r>
        <w:rPr>
          <w:rFonts w:hint="default" w:ascii="Times New Roman" w:hAnsi="Times New Roman" w:eastAsia="方正黑体_GBK" w:cs="Times New Roman"/>
          <w:color w:val="000000"/>
          <w:sz w:val="24"/>
          <w:szCs w:val="24"/>
          <w:u w:val="none"/>
          <w:lang w:bidi="ar-SA"/>
        </w:rPr>
        <w:tab/>
      </w:r>
    </w:p>
    <w:p w14:paraId="55A3E591">
      <w:pPr>
        <w:keepNext w:val="0"/>
        <w:keepLines w:val="0"/>
        <w:widowControl/>
        <w:suppressLineNumbers w:val="0"/>
        <w:jc w:val="center"/>
        <w:textAlignment w:val="center"/>
        <w:rPr>
          <w:rFonts w:hint="default" w:ascii="Times New Roman" w:hAnsi="Times New Roman" w:eastAsia="方正小标宋_GBK" w:cs="Times New Roman"/>
          <w:color w:val="000000"/>
          <w:sz w:val="36"/>
          <w:szCs w:val="36"/>
          <w:u w:val="none"/>
          <w:lang w:bidi="ar-SA"/>
        </w:rPr>
      </w:pPr>
      <w:r>
        <w:rPr>
          <w:rFonts w:hint="default" w:ascii="Times New Roman" w:hAnsi="Times New Roman" w:eastAsia="方正小标宋_GBK" w:cs="Times New Roman"/>
          <w:color w:val="000000"/>
          <w:kern w:val="0"/>
          <w:sz w:val="36"/>
          <w:szCs w:val="36"/>
          <w:u w:val="none"/>
          <w:lang w:val="en-US" w:eastAsia="zh-CN" w:bidi="ar"/>
        </w:rPr>
        <w:t>现代设施农业建设贷款用途目录</w:t>
      </w:r>
    </w:p>
    <w:tbl>
      <w:tblPr>
        <w:tblStyle w:val="5"/>
        <w:tblW w:w="8841" w:type="dxa"/>
        <w:jc w:val="center"/>
        <w:tblLayout w:type="fixed"/>
        <w:tblCellMar>
          <w:top w:w="0" w:type="dxa"/>
          <w:left w:w="108" w:type="dxa"/>
          <w:bottom w:w="0" w:type="dxa"/>
          <w:right w:w="108" w:type="dxa"/>
        </w:tblCellMar>
      </w:tblPr>
      <w:tblGrid>
        <w:gridCol w:w="1416"/>
        <w:gridCol w:w="7425"/>
      </w:tblGrid>
      <w:tr w14:paraId="7C539F13">
        <w:tblPrEx>
          <w:tblCellMar>
            <w:top w:w="0" w:type="dxa"/>
            <w:left w:w="108" w:type="dxa"/>
            <w:bottom w:w="0" w:type="dxa"/>
            <w:right w:w="108" w:type="dxa"/>
          </w:tblCellMar>
        </w:tblPrEx>
        <w:trPr>
          <w:trHeight w:val="510" w:hRule="atLeast"/>
          <w:tblHeader/>
          <w:jc w:val="center"/>
        </w:trPr>
        <w:tc>
          <w:tcPr>
            <w:tcW w:w="1416" w:type="dxa"/>
            <w:tcBorders>
              <w:top w:val="single" w:color="000000" w:sz="4" w:space="0"/>
              <w:left w:val="single" w:color="000000" w:sz="4" w:space="0"/>
              <w:bottom w:val="single" w:color="000000" w:sz="4" w:space="0"/>
              <w:right w:val="single" w:color="000000" w:sz="4" w:space="0"/>
            </w:tcBorders>
            <w:noWrap/>
            <w:vAlign w:val="center"/>
          </w:tcPr>
          <w:p w14:paraId="3D3BD53C">
            <w:pPr>
              <w:keepNext w:val="0"/>
              <w:keepLines w:val="0"/>
              <w:pageBreakBefore w:val="0"/>
              <w:widowControl w:val="0"/>
              <w:suppressLineNumbers w:val="0"/>
              <w:kinsoku/>
              <w:wordWrap/>
              <w:overflowPunct w:val="0"/>
              <w:topLinePunct w:val="0"/>
              <w:autoSpaceDE/>
              <w:autoSpaceDN/>
              <w:bidi w:val="0"/>
              <w:adjustRightInd/>
              <w:snapToGrid/>
              <w:spacing w:line="400" w:lineRule="exact"/>
              <w:jc w:val="center"/>
              <w:textAlignment w:val="center"/>
              <w:rPr>
                <w:rFonts w:hint="eastAsia" w:ascii="方正黑体_GBK" w:hAnsi="方正黑体_GBK" w:eastAsia="方正黑体_GBK" w:cs="方正黑体_GBK"/>
                <w:color w:val="000000"/>
                <w:sz w:val="24"/>
                <w:szCs w:val="24"/>
                <w:u w:val="none"/>
                <w:lang w:bidi="ar-SA"/>
              </w:rPr>
            </w:pPr>
            <w:r>
              <w:rPr>
                <w:rFonts w:hint="eastAsia" w:ascii="方正黑体_GBK" w:hAnsi="方正黑体_GBK" w:eastAsia="方正黑体_GBK" w:cs="方正黑体_GBK"/>
                <w:color w:val="000000"/>
                <w:kern w:val="0"/>
                <w:sz w:val="24"/>
                <w:szCs w:val="24"/>
                <w:u w:val="none"/>
                <w:lang w:val="en-US" w:eastAsia="zh-CN" w:bidi="ar"/>
              </w:rPr>
              <w:t>类   别</w:t>
            </w:r>
          </w:p>
        </w:tc>
        <w:tc>
          <w:tcPr>
            <w:tcW w:w="7425" w:type="dxa"/>
            <w:tcBorders>
              <w:top w:val="single" w:color="000000" w:sz="4" w:space="0"/>
              <w:left w:val="single" w:color="000000" w:sz="4" w:space="0"/>
              <w:bottom w:val="single" w:color="000000" w:sz="4" w:space="0"/>
              <w:right w:val="single" w:color="000000" w:sz="4" w:space="0"/>
            </w:tcBorders>
            <w:noWrap/>
            <w:vAlign w:val="center"/>
          </w:tcPr>
          <w:p w14:paraId="49B8D4F4">
            <w:pPr>
              <w:keepNext w:val="0"/>
              <w:keepLines w:val="0"/>
              <w:pageBreakBefore w:val="0"/>
              <w:widowControl w:val="0"/>
              <w:suppressLineNumbers w:val="0"/>
              <w:kinsoku/>
              <w:wordWrap/>
              <w:overflowPunct w:val="0"/>
              <w:topLinePunct w:val="0"/>
              <w:autoSpaceDE/>
              <w:autoSpaceDN/>
              <w:bidi w:val="0"/>
              <w:adjustRightInd/>
              <w:snapToGrid/>
              <w:spacing w:line="400" w:lineRule="exact"/>
              <w:jc w:val="center"/>
              <w:textAlignment w:val="center"/>
              <w:rPr>
                <w:rFonts w:hint="eastAsia" w:ascii="方正黑体_GBK" w:hAnsi="方正黑体_GBK" w:eastAsia="方正黑体_GBK" w:cs="方正黑体_GBK"/>
                <w:color w:val="000000"/>
                <w:sz w:val="24"/>
                <w:szCs w:val="24"/>
                <w:u w:val="none"/>
                <w:lang w:bidi="ar-SA"/>
              </w:rPr>
            </w:pPr>
            <w:r>
              <w:rPr>
                <w:rFonts w:hint="eastAsia" w:ascii="方正黑体_GBK" w:hAnsi="方正黑体_GBK" w:eastAsia="方正黑体_GBK" w:cs="方正黑体_GBK"/>
                <w:color w:val="000000"/>
                <w:kern w:val="0"/>
                <w:sz w:val="24"/>
                <w:szCs w:val="24"/>
                <w:u w:val="none"/>
                <w:lang w:val="en-US" w:eastAsia="zh-CN" w:bidi="ar"/>
              </w:rPr>
              <w:t>范      围</w:t>
            </w:r>
          </w:p>
        </w:tc>
      </w:tr>
      <w:tr w14:paraId="2D1A6A46">
        <w:tblPrEx>
          <w:tblCellMar>
            <w:top w:w="0" w:type="dxa"/>
            <w:left w:w="108" w:type="dxa"/>
            <w:bottom w:w="0" w:type="dxa"/>
            <w:right w:w="108" w:type="dxa"/>
          </w:tblCellMar>
        </w:tblPrEx>
        <w:trPr>
          <w:trHeight w:val="510" w:hRule="atLeast"/>
          <w:jc w:val="center"/>
        </w:trPr>
        <w:tc>
          <w:tcPr>
            <w:tcW w:w="1416" w:type="dxa"/>
            <w:vMerge w:val="restart"/>
            <w:tcBorders>
              <w:top w:val="single" w:color="000000" w:sz="4" w:space="0"/>
              <w:left w:val="single" w:color="000000" w:sz="4" w:space="0"/>
              <w:bottom w:val="single" w:color="000000" w:sz="4" w:space="0"/>
              <w:right w:val="single" w:color="000000" w:sz="4" w:space="0"/>
            </w:tcBorders>
            <w:noWrap/>
            <w:vAlign w:val="center"/>
          </w:tcPr>
          <w:p w14:paraId="7A27DE1D">
            <w:pPr>
              <w:keepNext w:val="0"/>
              <w:keepLines w:val="0"/>
              <w:pageBreakBefore w:val="0"/>
              <w:widowControl w:val="0"/>
              <w:suppressLineNumbers w:val="0"/>
              <w:kinsoku/>
              <w:wordWrap/>
              <w:overflowPunct w:val="0"/>
              <w:topLinePunct w:val="0"/>
              <w:autoSpaceDE/>
              <w:autoSpaceDN/>
              <w:bidi w:val="0"/>
              <w:adjustRightInd/>
              <w:snapToGrid/>
              <w:spacing w:line="400" w:lineRule="exact"/>
              <w:jc w:val="center"/>
              <w:textAlignment w:val="center"/>
              <w:rPr>
                <w:rFonts w:hint="default" w:ascii="Times New Roman" w:hAnsi="Times New Roman" w:eastAsia="方正仿宋_GBK" w:cs="Times New Roman"/>
                <w:color w:val="000000"/>
                <w:sz w:val="24"/>
                <w:szCs w:val="24"/>
                <w:u w:val="none"/>
                <w:lang w:bidi="ar-SA"/>
              </w:rPr>
            </w:pPr>
            <w:r>
              <w:rPr>
                <w:rFonts w:hint="default" w:ascii="Times New Roman" w:hAnsi="Times New Roman" w:eastAsia="方正仿宋_GBK" w:cs="Times New Roman"/>
                <w:color w:val="000000"/>
                <w:kern w:val="0"/>
                <w:sz w:val="24"/>
                <w:szCs w:val="24"/>
                <w:u w:val="none"/>
                <w:lang w:val="en-US" w:eastAsia="zh-CN" w:bidi="ar"/>
              </w:rPr>
              <w:t>设施种植业</w:t>
            </w:r>
          </w:p>
        </w:tc>
        <w:tc>
          <w:tcPr>
            <w:tcW w:w="7425" w:type="dxa"/>
            <w:tcBorders>
              <w:top w:val="single" w:color="000000" w:sz="4" w:space="0"/>
              <w:left w:val="single" w:color="000000" w:sz="4" w:space="0"/>
              <w:bottom w:val="single" w:color="000000" w:sz="4" w:space="0"/>
              <w:right w:val="single" w:color="000000" w:sz="4" w:space="0"/>
            </w:tcBorders>
            <w:noWrap w:val="0"/>
            <w:vAlign w:val="center"/>
          </w:tcPr>
          <w:p w14:paraId="18DB8305">
            <w:pPr>
              <w:keepNext w:val="0"/>
              <w:keepLines w:val="0"/>
              <w:pageBreakBefore w:val="0"/>
              <w:widowControl w:val="0"/>
              <w:suppressLineNumbers w:val="0"/>
              <w:kinsoku/>
              <w:wordWrap/>
              <w:overflowPunct w:val="0"/>
              <w:topLinePunct w:val="0"/>
              <w:autoSpaceDE/>
              <w:autoSpaceDN/>
              <w:bidi w:val="0"/>
              <w:adjustRightInd/>
              <w:snapToGrid/>
              <w:spacing w:line="400" w:lineRule="exact"/>
              <w:jc w:val="left"/>
              <w:textAlignment w:val="center"/>
              <w:rPr>
                <w:rFonts w:hint="default" w:ascii="Times New Roman" w:hAnsi="Times New Roman" w:eastAsia="方正仿宋_GBK" w:cs="Times New Roman"/>
                <w:color w:val="0F1115"/>
                <w:sz w:val="24"/>
                <w:szCs w:val="24"/>
                <w:u w:val="none"/>
                <w:lang w:bidi="ar-SA"/>
              </w:rPr>
            </w:pPr>
            <w:r>
              <w:rPr>
                <w:rFonts w:hint="default" w:ascii="Times New Roman" w:hAnsi="Times New Roman" w:eastAsia="方正仿宋_GBK" w:cs="Times New Roman"/>
                <w:color w:val="0F1115"/>
                <w:kern w:val="0"/>
                <w:sz w:val="24"/>
                <w:szCs w:val="24"/>
                <w:u w:val="none"/>
                <w:lang w:val="en-US" w:eastAsia="zh-CN" w:bidi="ar"/>
              </w:rPr>
              <w:t>大跨度多源蓄热型塑料大棚（含单栋和连栋）、外保温型塑料大棚（含单栋和连栋）</w:t>
            </w:r>
          </w:p>
        </w:tc>
      </w:tr>
      <w:tr w14:paraId="1C0739A4">
        <w:tblPrEx>
          <w:tblCellMar>
            <w:top w:w="0" w:type="dxa"/>
            <w:left w:w="108" w:type="dxa"/>
            <w:bottom w:w="0" w:type="dxa"/>
            <w:right w:w="108" w:type="dxa"/>
          </w:tblCellMar>
        </w:tblPrEx>
        <w:trPr>
          <w:trHeight w:val="510" w:hRule="atLeast"/>
          <w:jc w:val="center"/>
        </w:trPr>
        <w:tc>
          <w:tcPr>
            <w:tcW w:w="1416" w:type="dxa"/>
            <w:vMerge w:val="continue"/>
            <w:tcBorders>
              <w:top w:val="single" w:color="000000" w:sz="4" w:space="0"/>
              <w:left w:val="single" w:color="000000" w:sz="4" w:space="0"/>
              <w:bottom w:val="single" w:color="000000" w:sz="4" w:space="0"/>
              <w:right w:val="single" w:color="000000" w:sz="4" w:space="0"/>
            </w:tcBorders>
            <w:noWrap/>
            <w:vAlign w:val="center"/>
          </w:tcPr>
          <w:p w14:paraId="5EE18A3C">
            <w:pPr>
              <w:keepNext w:val="0"/>
              <w:keepLines w:val="0"/>
              <w:pageBreakBefore w:val="0"/>
              <w:widowControl w:val="0"/>
              <w:kinsoku/>
              <w:wordWrap/>
              <w:overflowPunct w:val="0"/>
              <w:topLinePunct w:val="0"/>
              <w:autoSpaceDE/>
              <w:autoSpaceDN/>
              <w:bidi w:val="0"/>
              <w:adjustRightInd/>
              <w:snapToGrid/>
              <w:spacing w:line="400" w:lineRule="exact"/>
              <w:rPr>
                <w:rFonts w:hint="default" w:ascii="Times New Roman" w:hAnsi="Times New Roman" w:eastAsia="方正仿宋_GBK" w:cs="Times New Roman"/>
              </w:rPr>
            </w:pPr>
          </w:p>
        </w:tc>
        <w:tc>
          <w:tcPr>
            <w:tcW w:w="7425" w:type="dxa"/>
            <w:tcBorders>
              <w:top w:val="single" w:color="000000" w:sz="4" w:space="0"/>
              <w:left w:val="single" w:color="000000" w:sz="4" w:space="0"/>
              <w:bottom w:val="single" w:color="000000" w:sz="4" w:space="0"/>
              <w:right w:val="single" w:color="000000" w:sz="4" w:space="0"/>
            </w:tcBorders>
            <w:noWrap w:val="0"/>
            <w:vAlign w:val="center"/>
          </w:tcPr>
          <w:p w14:paraId="7E8CBBD2">
            <w:pPr>
              <w:keepNext w:val="0"/>
              <w:keepLines w:val="0"/>
              <w:pageBreakBefore w:val="0"/>
              <w:widowControl w:val="0"/>
              <w:suppressLineNumbers w:val="0"/>
              <w:kinsoku/>
              <w:wordWrap/>
              <w:overflowPunct w:val="0"/>
              <w:topLinePunct w:val="0"/>
              <w:autoSpaceDE/>
              <w:autoSpaceDN/>
              <w:bidi w:val="0"/>
              <w:adjustRightInd/>
              <w:snapToGrid/>
              <w:spacing w:line="400" w:lineRule="exact"/>
              <w:jc w:val="left"/>
              <w:textAlignment w:val="center"/>
              <w:rPr>
                <w:rFonts w:hint="default" w:ascii="Times New Roman" w:hAnsi="Times New Roman" w:eastAsia="方正仿宋_GBK" w:cs="Times New Roman"/>
                <w:color w:val="0F1115"/>
                <w:sz w:val="24"/>
                <w:szCs w:val="24"/>
                <w:u w:val="none"/>
                <w:lang w:bidi="ar-SA"/>
              </w:rPr>
            </w:pPr>
            <w:r>
              <w:rPr>
                <w:rFonts w:hint="default" w:ascii="Times New Roman" w:hAnsi="Times New Roman" w:eastAsia="方正仿宋_GBK" w:cs="Times New Roman"/>
                <w:color w:val="0F1115"/>
                <w:kern w:val="0"/>
                <w:sz w:val="24"/>
                <w:szCs w:val="24"/>
                <w:u w:val="none"/>
                <w:lang w:val="en-US" w:eastAsia="zh-CN" w:bidi="ar"/>
              </w:rPr>
              <w:t>高标准日光温室（含新型复合保温墙体、装配式结构）、节能日光温室</w:t>
            </w:r>
          </w:p>
        </w:tc>
      </w:tr>
      <w:tr w14:paraId="2E6FE1A9">
        <w:tblPrEx>
          <w:tblCellMar>
            <w:top w:w="0" w:type="dxa"/>
            <w:left w:w="108" w:type="dxa"/>
            <w:bottom w:w="0" w:type="dxa"/>
            <w:right w:w="108" w:type="dxa"/>
          </w:tblCellMar>
        </w:tblPrEx>
        <w:trPr>
          <w:trHeight w:val="510" w:hRule="atLeast"/>
          <w:jc w:val="center"/>
        </w:trPr>
        <w:tc>
          <w:tcPr>
            <w:tcW w:w="1416" w:type="dxa"/>
            <w:vMerge w:val="continue"/>
            <w:tcBorders>
              <w:top w:val="single" w:color="000000" w:sz="4" w:space="0"/>
              <w:left w:val="single" w:color="000000" w:sz="4" w:space="0"/>
              <w:bottom w:val="single" w:color="000000" w:sz="4" w:space="0"/>
              <w:right w:val="single" w:color="000000" w:sz="4" w:space="0"/>
            </w:tcBorders>
            <w:noWrap/>
            <w:vAlign w:val="center"/>
          </w:tcPr>
          <w:p w14:paraId="04D65EE4">
            <w:pPr>
              <w:keepNext w:val="0"/>
              <w:keepLines w:val="0"/>
              <w:pageBreakBefore w:val="0"/>
              <w:widowControl w:val="0"/>
              <w:kinsoku/>
              <w:wordWrap/>
              <w:overflowPunct w:val="0"/>
              <w:topLinePunct w:val="0"/>
              <w:autoSpaceDE/>
              <w:autoSpaceDN/>
              <w:bidi w:val="0"/>
              <w:adjustRightInd/>
              <w:snapToGrid/>
              <w:spacing w:line="400" w:lineRule="exact"/>
              <w:rPr>
                <w:rFonts w:hint="default" w:ascii="Times New Roman" w:hAnsi="Times New Roman" w:eastAsia="方正仿宋_GBK" w:cs="Times New Roman"/>
              </w:rPr>
            </w:pPr>
          </w:p>
        </w:tc>
        <w:tc>
          <w:tcPr>
            <w:tcW w:w="7425" w:type="dxa"/>
            <w:tcBorders>
              <w:top w:val="single" w:color="000000" w:sz="4" w:space="0"/>
              <w:left w:val="single" w:color="000000" w:sz="4" w:space="0"/>
              <w:bottom w:val="single" w:color="000000" w:sz="4" w:space="0"/>
              <w:right w:val="single" w:color="000000" w:sz="4" w:space="0"/>
            </w:tcBorders>
            <w:noWrap w:val="0"/>
            <w:vAlign w:val="center"/>
          </w:tcPr>
          <w:p w14:paraId="29C0AEF3">
            <w:pPr>
              <w:keepNext w:val="0"/>
              <w:keepLines w:val="0"/>
              <w:pageBreakBefore w:val="0"/>
              <w:widowControl w:val="0"/>
              <w:suppressLineNumbers w:val="0"/>
              <w:kinsoku/>
              <w:wordWrap/>
              <w:overflowPunct w:val="0"/>
              <w:topLinePunct w:val="0"/>
              <w:autoSpaceDE/>
              <w:autoSpaceDN/>
              <w:bidi w:val="0"/>
              <w:adjustRightInd/>
              <w:snapToGrid/>
              <w:spacing w:line="400" w:lineRule="exact"/>
              <w:jc w:val="left"/>
              <w:textAlignment w:val="center"/>
              <w:rPr>
                <w:rFonts w:hint="default" w:ascii="Times New Roman" w:hAnsi="Times New Roman" w:eastAsia="方正仿宋_GBK" w:cs="Times New Roman"/>
                <w:color w:val="0F1115"/>
                <w:sz w:val="24"/>
                <w:szCs w:val="24"/>
                <w:u w:val="none"/>
                <w:lang w:bidi="ar-SA"/>
              </w:rPr>
            </w:pPr>
            <w:r>
              <w:rPr>
                <w:rFonts w:hint="default" w:ascii="Times New Roman" w:hAnsi="Times New Roman" w:eastAsia="方正仿宋_GBK" w:cs="Times New Roman"/>
                <w:color w:val="0F1115"/>
                <w:kern w:val="0"/>
                <w:sz w:val="24"/>
                <w:szCs w:val="24"/>
                <w:u w:val="none"/>
                <w:lang w:val="en-US" w:eastAsia="zh-CN" w:bidi="ar"/>
              </w:rPr>
              <w:t>大型连栋玻璃温室、植物工厂（含立体种植型）、育苗育秧中心（含育秧育苗所需的自动化育苗装备）</w:t>
            </w:r>
          </w:p>
        </w:tc>
      </w:tr>
      <w:tr w14:paraId="59A7CF96">
        <w:tblPrEx>
          <w:tblCellMar>
            <w:top w:w="0" w:type="dxa"/>
            <w:left w:w="108" w:type="dxa"/>
            <w:bottom w:w="0" w:type="dxa"/>
            <w:right w:w="108" w:type="dxa"/>
          </w:tblCellMar>
        </w:tblPrEx>
        <w:trPr>
          <w:trHeight w:val="510" w:hRule="atLeast"/>
          <w:jc w:val="center"/>
        </w:trPr>
        <w:tc>
          <w:tcPr>
            <w:tcW w:w="1416" w:type="dxa"/>
            <w:vMerge w:val="continue"/>
            <w:tcBorders>
              <w:top w:val="single" w:color="000000" w:sz="4" w:space="0"/>
              <w:left w:val="single" w:color="000000" w:sz="4" w:space="0"/>
              <w:bottom w:val="single" w:color="000000" w:sz="4" w:space="0"/>
              <w:right w:val="single" w:color="000000" w:sz="4" w:space="0"/>
            </w:tcBorders>
            <w:noWrap/>
            <w:vAlign w:val="center"/>
          </w:tcPr>
          <w:p w14:paraId="7EAF4C0C">
            <w:pPr>
              <w:keepNext w:val="0"/>
              <w:keepLines w:val="0"/>
              <w:pageBreakBefore w:val="0"/>
              <w:widowControl w:val="0"/>
              <w:kinsoku/>
              <w:wordWrap/>
              <w:overflowPunct w:val="0"/>
              <w:topLinePunct w:val="0"/>
              <w:autoSpaceDE/>
              <w:autoSpaceDN/>
              <w:bidi w:val="0"/>
              <w:adjustRightInd/>
              <w:snapToGrid/>
              <w:spacing w:line="400" w:lineRule="exact"/>
              <w:rPr>
                <w:rFonts w:hint="default" w:ascii="Times New Roman" w:hAnsi="Times New Roman" w:eastAsia="方正仿宋_GBK" w:cs="Times New Roman"/>
              </w:rPr>
            </w:pPr>
          </w:p>
        </w:tc>
        <w:tc>
          <w:tcPr>
            <w:tcW w:w="7425" w:type="dxa"/>
            <w:tcBorders>
              <w:top w:val="single" w:color="000000" w:sz="4" w:space="0"/>
              <w:left w:val="single" w:color="000000" w:sz="4" w:space="0"/>
              <w:bottom w:val="nil"/>
              <w:right w:val="single" w:color="000000" w:sz="4" w:space="0"/>
            </w:tcBorders>
            <w:noWrap w:val="0"/>
            <w:vAlign w:val="center"/>
          </w:tcPr>
          <w:p w14:paraId="600D05CF">
            <w:pPr>
              <w:keepNext w:val="0"/>
              <w:keepLines w:val="0"/>
              <w:pageBreakBefore w:val="0"/>
              <w:widowControl w:val="0"/>
              <w:suppressLineNumbers w:val="0"/>
              <w:kinsoku/>
              <w:wordWrap/>
              <w:overflowPunct w:val="0"/>
              <w:topLinePunct w:val="0"/>
              <w:autoSpaceDE/>
              <w:autoSpaceDN/>
              <w:bidi w:val="0"/>
              <w:adjustRightInd/>
              <w:snapToGrid/>
              <w:spacing w:line="400" w:lineRule="exact"/>
              <w:jc w:val="left"/>
              <w:textAlignment w:val="center"/>
              <w:rPr>
                <w:rFonts w:hint="default" w:ascii="Times New Roman" w:hAnsi="Times New Roman" w:eastAsia="方正仿宋_GBK" w:cs="Times New Roman"/>
                <w:color w:val="000000"/>
                <w:sz w:val="24"/>
                <w:szCs w:val="24"/>
                <w:u w:val="none"/>
                <w:lang w:bidi="ar-SA"/>
              </w:rPr>
            </w:pPr>
            <w:r>
              <w:rPr>
                <w:rFonts w:hint="default" w:ascii="Times New Roman" w:hAnsi="Times New Roman" w:eastAsia="方正仿宋_GBK" w:cs="Times New Roman"/>
                <w:color w:val="000000"/>
                <w:kern w:val="0"/>
                <w:sz w:val="24"/>
                <w:szCs w:val="24"/>
                <w:u w:val="none"/>
                <w:lang w:val="en-US" w:eastAsia="zh-CN" w:bidi="ar"/>
              </w:rPr>
              <w:t>棚室内环境调控装备（含室外气象站、室内环境传感器、种苗长势视频监控系统等数据采集设备</w:t>
            </w:r>
            <w:r>
              <w:rPr>
                <w:rStyle w:val="7"/>
                <w:rFonts w:hint="default" w:ascii="Times New Roman" w:hAnsi="Times New Roman" w:eastAsia="方正仿宋_GBK" w:cs="Times New Roman"/>
                <w:lang w:val="en-US" w:eastAsia="zh-CN" w:bidi="ar"/>
              </w:rPr>
              <w:t>,</w:t>
            </w:r>
            <w:r>
              <w:rPr>
                <w:rStyle w:val="9"/>
                <w:rFonts w:hint="default" w:ascii="Times New Roman" w:hAnsi="Times New Roman" w:eastAsia="方正仿宋_GBK" w:cs="Times New Roman"/>
                <w:lang w:val="en-US" w:eastAsia="zh-CN" w:bidi="ar"/>
              </w:rPr>
              <w:t>配置补光、电动开窗、电动卷帘、二氧化碳施肥等环境控制系统）</w:t>
            </w:r>
          </w:p>
        </w:tc>
      </w:tr>
      <w:tr w14:paraId="79F129DA">
        <w:tblPrEx>
          <w:tblCellMar>
            <w:top w:w="0" w:type="dxa"/>
            <w:left w:w="108" w:type="dxa"/>
            <w:bottom w:w="0" w:type="dxa"/>
            <w:right w:w="108" w:type="dxa"/>
          </w:tblCellMar>
        </w:tblPrEx>
        <w:trPr>
          <w:trHeight w:val="510" w:hRule="atLeast"/>
          <w:jc w:val="center"/>
        </w:trPr>
        <w:tc>
          <w:tcPr>
            <w:tcW w:w="1416" w:type="dxa"/>
            <w:vMerge w:val="restart"/>
            <w:tcBorders>
              <w:top w:val="single" w:color="000000" w:sz="4" w:space="0"/>
              <w:left w:val="single" w:color="000000" w:sz="4" w:space="0"/>
              <w:bottom w:val="single" w:color="000000" w:sz="4" w:space="0"/>
              <w:right w:val="single" w:color="000000" w:sz="4" w:space="0"/>
            </w:tcBorders>
            <w:noWrap w:val="0"/>
            <w:vAlign w:val="center"/>
          </w:tcPr>
          <w:p w14:paraId="005FD65E">
            <w:pPr>
              <w:keepNext w:val="0"/>
              <w:keepLines w:val="0"/>
              <w:pageBreakBefore w:val="0"/>
              <w:widowControl w:val="0"/>
              <w:suppressLineNumbers w:val="0"/>
              <w:kinsoku/>
              <w:wordWrap/>
              <w:overflowPunct w:val="0"/>
              <w:topLinePunct w:val="0"/>
              <w:autoSpaceDE/>
              <w:autoSpaceDN/>
              <w:bidi w:val="0"/>
              <w:adjustRightInd/>
              <w:snapToGrid/>
              <w:spacing w:line="400" w:lineRule="exact"/>
              <w:jc w:val="left"/>
              <w:textAlignment w:val="center"/>
              <w:rPr>
                <w:rFonts w:hint="default" w:ascii="Times New Roman" w:hAnsi="Times New Roman" w:eastAsia="方正仿宋_GBK" w:cs="Times New Roman"/>
                <w:color w:val="000000"/>
                <w:sz w:val="24"/>
                <w:szCs w:val="24"/>
                <w:u w:val="none"/>
                <w:lang w:bidi="ar-SA"/>
              </w:rPr>
            </w:pPr>
            <w:r>
              <w:rPr>
                <w:rFonts w:hint="default" w:ascii="Times New Roman" w:hAnsi="Times New Roman" w:eastAsia="方正仿宋_GBK" w:cs="Times New Roman"/>
                <w:color w:val="000000"/>
                <w:kern w:val="0"/>
                <w:sz w:val="24"/>
                <w:szCs w:val="24"/>
                <w:u w:val="none"/>
                <w:lang w:val="en-US" w:eastAsia="zh-CN" w:bidi="ar"/>
              </w:rPr>
              <w:t>设施畜牧业</w:t>
            </w:r>
          </w:p>
        </w:tc>
        <w:tc>
          <w:tcPr>
            <w:tcW w:w="7425" w:type="dxa"/>
            <w:tcBorders>
              <w:top w:val="single" w:color="000000" w:sz="4" w:space="0"/>
              <w:left w:val="single" w:color="000000" w:sz="4" w:space="0"/>
              <w:bottom w:val="single" w:color="000000" w:sz="4" w:space="0"/>
              <w:right w:val="single" w:color="000000" w:sz="4" w:space="0"/>
            </w:tcBorders>
            <w:noWrap w:val="0"/>
            <w:vAlign w:val="center"/>
          </w:tcPr>
          <w:p w14:paraId="5E56A2AD">
            <w:pPr>
              <w:keepNext w:val="0"/>
              <w:keepLines w:val="0"/>
              <w:pageBreakBefore w:val="0"/>
              <w:widowControl w:val="0"/>
              <w:suppressLineNumbers w:val="0"/>
              <w:kinsoku/>
              <w:wordWrap/>
              <w:overflowPunct w:val="0"/>
              <w:topLinePunct w:val="0"/>
              <w:autoSpaceDE/>
              <w:autoSpaceDN/>
              <w:bidi w:val="0"/>
              <w:adjustRightInd/>
              <w:snapToGrid/>
              <w:spacing w:line="400" w:lineRule="exact"/>
              <w:jc w:val="left"/>
              <w:textAlignment w:val="center"/>
              <w:rPr>
                <w:rFonts w:hint="default" w:ascii="Times New Roman" w:hAnsi="Times New Roman" w:eastAsia="方正仿宋_GBK" w:cs="Times New Roman"/>
                <w:color w:val="000000"/>
                <w:sz w:val="24"/>
                <w:szCs w:val="24"/>
                <w:u w:val="none"/>
                <w:lang w:bidi="ar-SA"/>
              </w:rPr>
            </w:pPr>
            <w:r>
              <w:rPr>
                <w:rFonts w:hint="default" w:ascii="Times New Roman" w:hAnsi="Times New Roman" w:eastAsia="方正仿宋_GBK" w:cs="Times New Roman"/>
                <w:color w:val="000000"/>
                <w:kern w:val="0"/>
                <w:sz w:val="24"/>
                <w:szCs w:val="24"/>
                <w:u w:val="none"/>
                <w:lang w:val="en-US" w:eastAsia="zh-CN" w:bidi="ar"/>
              </w:rPr>
              <w:t>畜禽规模养殖场设施：包括精准饲喂、自动饮水、电子识别、状态监测、疫病防控等设备及控制系统；智能环境控制设备及智能控制系统；智能环境控制设备，应用环境自动监测、自动通风、清洗消毒、无害化处理、除臭、降温、湿度调节设备以及智能控制系统；粪污处理利用设施装备</w:t>
            </w:r>
          </w:p>
        </w:tc>
      </w:tr>
      <w:tr w14:paraId="362A16B4">
        <w:tblPrEx>
          <w:tblCellMar>
            <w:top w:w="0" w:type="dxa"/>
            <w:left w:w="108" w:type="dxa"/>
            <w:bottom w:w="0" w:type="dxa"/>
            <w:right w:w="108" w:type="dxa"/>
          </w:tblCellMar>
        </w:tblPrEx>
        <w:trPr>
          <w:trHeight w:val="510" w:hRule="atLeast"/>
          <w:jc w:val="center"/>
        </w:trPr>
        <w:tc>
          <w:tcPr>
            <w:tcW w:w="1416" w:type="dxa"/>
            <w:vMerge w:val="continue"/>
            <w:tcBorders>
              <w:top w:val="single" w:color="000000" w:sz="4" w:space="0"/>
              <w:left w:val="single" w:color="000000" w:sz="4" w:space="0"/>
              <w:bottom w:val="single" w:color="000000" w:sz="4" w:space="0"/>
              <w:right w:val="single" w:color="000000" w:sz="4" w:space="0"/>
            </w:tcBorders>
            <w:noWrap w:val="0"/>
            <w:vAlign w:val="center"/>
          </w:tcPr>
          <w:p w14:paraId="3AB204B6">
            <w:pPr>
              <w:keepNext w:val="0"/>
              <w:keepLines w:val="0"/>
              <w:pageBreakBefore w:val="0"/>
              <w:widowControl w:val="0"/>
              <w:kinsoku/>
              <w:wordWrap/>
              <w:overflowPunct w:val="0"/>
              <w:topLinePunct w:val="0"/>
              <w:autoSpaceDE/>
              <w:autoSpaceDN/>
              <w:bidi w:val="0"/>
              <w:adjustRightInd/>
              <w:snapToGrid/>
              <w:spacing w:line="400" w:lineRule="exact"/>
              <w:rPr>
                <w:rFonts w:hint="default" w:ascii="Times New Roman" w:hAnsi="Times New Roman" w:eastAsia="方正仿宋_GBK" w:cs="Times New Roman"/>
              </w:rPr>
            </w:pPr>
          </w:p>
        </w:tc>
        <w:tc>
          <w:tcPr>
            <w:tcW w:w="7425" w:type="dxa"/>
            <w:tcBorders>
              <w:top w:val="single" w:color="000000" w:sz="4" w:space="0"/>
              <w:left w:val="single" w:color="000000" w:sz="4" w:space="0"/>
              <w:bottom w:val="single" w:color="000000" w:sz="4" w:space="0"/>
              <w:right w:val="single" w:color="000000" w:sz="4" w:space="0"/>
            </w:tcBorders>
            <w:noWrap w:val="0"/>
            <w:vAlign w:val="center"/>
          </w:tcPr>
          <w:p w14:paraId="25802313">
            <w:pPr>
              <w:keepNext w:val="0"/>
              <w:keepLines w:val="0"/>
              <w:pageBreakBefore w:val="0"/>
              <w:widowControl w:val="0"/>
              <w:suppressLineNumbers w:val="0"/>
              <w:kinsoku/>
              <w:wordWrap/>
              <w:overflowPunct w:val="0"/>
              <w:topLinePunct w:val="0"/>
              <w:autoSpaceDE/>
              <w:autoSpaceDN/>
              <w:bidi w:val="0"/>
              <w:adjustRightInd/>
              <w:snapToGrid/>
              <w:spacing w:line="400" w:lineRule="exact"/>
              <w:jc w:val="left"/>
              <w:textAlignment w:val="center"/>
              <w:rPr>
                <w:rFonts w:hint="default" w:ascii="Times New Roman" w:hAnsi="Times New Roman" w:eastAsia="方正仿宋_GBK" w:cs="Times New Roman"/>
                <w:color w:val="000000"/>
                <w:sz w:val="24"/>
                <w:szCs w:val="24"/>
                <w:u w:val="none"/>
                <w:lang w:bidi="ar-SA"/>
              </w:rPr>
            </w:pPr>
            <w:r>
              <w:rPr>
                <w:rFonts w:hint="default" w:ascii="Times New Roman" w:hAnsi="Times New Roman" w:eastAsia="方正仿宋_GBK" w:cs="Times New Roman"/>
                <w:color w:val="000000"/>
                <w:kern w:val="0"/>
                <w:sz w:val="24"/>
                <w:szCs w:val="24"/>
                <w:u w:val="none"/>
                <w:lang w:val="en-US" w:eastAsia="zh-CN" w:bidi="ar"/>
              </w:rPr>
              <w:t>立体多层规模化生猪养殖场（生猪年出栏10万头以</w:t>
            </w:r>
            <w:r>
              <w:rPr>
                <w:rStyle w:val="9"/>
                <w:rFonts w:hint="default" w:ascii="Times New Roman" w:hAnsi="Times New Roman" w:eastAsia="方正仿宋_GBK" w:cs="Times New Roman"/>
                <w:lang w:val="en-US" w:eastAsia="zh-CN" w:bidi="ar"/>
              </w:rPr>
              <w:t>上）：包括生猪立体多层养殖圈舍；精准饲喂、环境控制、疫病防控、粪污处理等设施设备及自动化智能化管理系统</w:t>
            </w:r>
          </w:p>
        </w:tc>
      </w:tr>
      <w:tr w14:paraId="44E738F7">
        <w:tblPrEx>
          <w:tblCellMar>
            <w:top w:w="0" w:type="dxa"/>
            <w:left w:w="108" w:type="dxa"/>
            <w:bottom w:w="0" w:type="dxa"/>
            <w:right w:w="108" w:type="dxa"/>
          </w:tblCellMar>
        </w:tblPrEx>
        <w:trPr>
          <w:trHeight w:val="510" w:hRule="atLeast"/>
          <w:jc w:val="center"/>
        </w:trPr>
        <w:tc>
          <w:tcPr>
            <w:tcW w:w="1416" w:type="dxa"/>
            <w:vMerge w:val="continue"/>
            <w:tcBorders>
              <w:top w:val="single" w:color="000000" w:sz="4" w:space="0"/>
              <w:left w:val="single" w:color="000000" w:sz="4" w:space="0"/>
              <w:bottom w:val="single" w:color="000000" w:sz="4" w:space="0"/>
              <w:right w:val="single" w:color="000000" w:sz="4" w:space="0"/>
            </w:tcBorders>
            <w:noWrap w:val="0"/>
            <w:vAlign w:val="center"/>
          </w:tcPr>
          <w:p w14:paraId="10C9675B">
            <w:pPr>
              <w:keepNext w:val="0"/>
              <w:keepLines w:val="0"/>
              <w:pageBreakBefore w:val="0"/>
              <w:widowControl w:val="0"/>
              <w:kinsoku/>
              <w:wordWrap/>
              <w:overflowPunct w:val="0"/>
              <w:topLinePunct w:val="0"/>
              <w:autoSpaceDE/>
              <w:autoSpaceDN/>
              <w:bidi w:val="0"/>
              <w:adjustRightInd/>
              <w:snapToGrid/>
              <w:spacing w:line="400" w:lineRule="exact"/>
              <w:rPr>
                <w:rFonts w:hint="default" w:ascii="Times New Roman" w:hAnsi="Times New Roman" w:eastAsia="方正仿宋_GBK" w:cs="Times New Roman"/>
              </w:rPr>
            </w:pPr>
          </w:p>
        </w:tc>
        <w:tc>
          <w:tcPr>
            <w:tcW w:w="7425" w:type="dxa"/>
            <w:tcBorders>
              <w:top w:val="single" w:color="000000" w:sz="4" w:space="0"/>
              <w:left w:val="single" w:color="000000" w:sz="4" w:space="0"/>
              <w:bottom w:val="single" w:color="000000" w:sz="4" w:space="0"/>
              <w:right w:val="single" w:color="000000" w:sz="4" w:space="0"/>
            </w:tcBorders>
            <w:noWrap w:val="0"/>
            <w:vAlign w:val="center"/>
          </w:tcPr>
          <w:p w14:paraId="4D51B563">
            <w:pPr>
              <w:keepNext w:val="0"/>
              <w:keepLines w:val="0"/>
              <w:pageBreakBefore w:val="0"/>
              <w:widowControl w:val="0"/>
              <w:suppressLineNumbers w:val="0"/>
              <w:kinsoku/>
              <w:wordWrap/>
              <w:overflowPunct w:val="0"/>
              <w:topLinePunct w:val="0"/>
              <w:autoSpaceDE/>
              <w:autoSpaceDN/>
              <w:bidi w:val="0"/>
              <w:adjustRightInd/>
              <w:snapToGrid/>
              <w:spacing w:line="400" w:lineRule="exact"/>
              <w:jc w:val="left"/>
              <w:textAlignment w:val="center"/>
              <w:rPr>
                <w:rFonts w:hint="default" w:ascii="Times New Roman" w:hAnsi="Times New Roman" w:eastAsia="方正仿宋_GBK" w:cs="Times New Roman"/>
                <w:color w:val="000000"/>
                <w:sz w:val="24"/>
                <w:szCs w:val="24"/>
                <w:u w:val="none"/>
                <w:lang w:bidi="ar-SA"/>
              </w:rPr>
            </w:pPr>
            <w:r>
              <w:rPr>
                <w:rFonts w:hint="default" w:ascii="Times New Roman" w:hAnsi="Times New Roman" w:eastAsia="方正仿宋_GBK" w:cs="Times New Roman"/>
                <w:color w:val="000000"/>
                <w:kern w:val="0"/>
                <w:sz w:val="24"/>
                <w:szCs w:val="24"/>
                <w:u w:val="none"/>
                <w:lang w:val="en-US" w:eastAsia="zh-CN" w:bidi="ar"/>
              </w:rPr>
              <w:t>家禽立体高效设施养殖场（蛋禽存栏</w:t>
            </w:r>
            <w:r>
              <w:rPr>
                <w:rStyle w:val="7"/>
                <w:rFonts w:hint="default" w:ascii="Times New Roman" w:hAnsi="Times New Roman" w:eastAsia="方正仿宋_GBK" w:cs="Times New Roman"/>
                <w:b w:val="0"/>
                <w:bCs/>
                <w:lang w:val="en-US" w:eastAsia="zh-CN" w:bidi="ar"/>
              </w:rPr>
              <w:t>20</w:t>
            </w:r>
            <w:r>
              <w:rPr>
                <w:rStyle w:val="9"/>
                <w:rFonts w:hint="default" w:ascii="Times New Roman" w:hAnsi="Times New Roman" w:eastAsia="方正仿宋_GBK" w:cs="Times New Roman"/>
                <w:lang w:val="en-US" w:eastAsia="zh-CN" w:bidi="ar"/>
              </w:rPr>
              <w:t>万只以上，肉禽年出栏</w:t>
            </w:r>
            <w:r>
              <w:rPr>
                <w:rStyle w:val="7"/>
                <w:rFonts w:hint="default" w:ascii="Times New Roman" w:hAnsi="Times New Roman" w:eastAsia="方正仿宋_GBK" w:cs="Times New Roman"/>
                <w:b w:val="0"/>
                <w:bCs/>
                <w:lang w:val="en-US" w:eastAsia="zh-CN" w:bidi="ar"/>
              </w:rPr>
              <w:t>100</w:t>
            </w:r>
            <w:r>
              <w:rPr>
                <w:rStyle w:val="9"/>
                <w:rFonts w:hint="default" w:ascii="Times New Roman" w:hAnsi="Times New Roman" w:eastAsia="方正仿宋_GBK" w:cs="Times New Roman"/>
                <w:lang w:val="en-US" w:eastAsia="zh-CN" w:bidi="ar"/>
              </w:rPr>
              <w:t>万只以上）：封闭式蛋鸡、肉鸡圈舍；精准饲养管理、育雏孵化、疫病防控、环境控制、粪污资源化利用、鸡蛋收集和分级包装等设备</w:t>
            </w:r>
          </w:p>
        </w:tc>
      </w:tr>
      <w:tr w14:paraId="34123D86">
        <w:tblPrEx>
          <w:tblCellMar>
            <w:top w:w="0" w:type="dxa"/>
            <w:left w:w="108" w:type="dxa"/>
            <w:bottom w:w="0" w:type="dxa"/>
            <w:right w:w="108" w:type="dxa"/>
          </w:tblCellMar>
        </w:tblPrEx>
        <w:trPr>
          <w:trHeight w:val="510" w:hRule="atLeast"/>
          <w:jc w:val="center"/>
        </w:trPr>
        <w:tc>
          <w:tcPr>
            <w:tcW w:w="1416" w:type="dxa"/>
            <w:vMerge w:val="continue"/>
            <w:tcBorders>
              <w:top w:val="single" w:color="000000" w:sz="4" w:space="0"/>
              <w:left w:val="single" w:color="000000" w:sz="4" w:space="0"/>
              <w:bottom w:val="single" w:color="000000" w:sz="4" w:space="0"/>
              <w:right w:val="single" w:color="000000" w:sz="4" w:space="0"/>
            </w:tcBorders>
            <w:noWrap w:val="0"/>
            <w:vAlign w:val="center"/>
          </w:tcPr>
          <w:p w14:paraId="50343D9E">
            <w:pPr>
              <w:keepNext w:val="0"/>
              <w:keepLines w:val="0"/>
              <w:pageBreakBefore w:val="0"/>
              <w:widowControl w:val="0"/>
              <w:kinsoku/>
              <w:wordWrap/>
              <w:overflowPunct w:val="0"/>
              <w:topLinePunct w:val="0"/>
              <w:autoSpaceDE/>
              <w:autoSpaceDN/>
              <w:bidi w:val="0"/>
              <w:adjustRightInd/>
              <w:snapToGrid/>
              <w:spacing w:line="400" w:lineRule="exact"/>
              <w:rPr>
                <w:rFonts w:hint="default" w:ascii="Times New Roman" w:hAnsi="Times New Roman" w:eastAsia="方正仿宋_GBK" w:cs="Times New Roman"/>
              </w:rPr>
            </w:pPr>
          </w:p>
        </w:tc>
        <w:tc>
          <w:tcPr>
            <w:tcW w:w="7425" w:type="dxa"/>
            <w:tcBorders>
              <w:top w:val="single" w:color="000000" w:sz="4" w:space="0"/>
              <w:left w:val="single" w:color="000000" w:sz="4" w:space="0"/>
              <w:bottom w:val="single" w:color="000000" w:sz="4" w:space="0"/>
              <w:right w:val="single" w:color="000000" w:sz="4" w:space="0"/>
            </w:tcBorders>
            <w:noWrap w:val="0"/>
            <w:vAlign w:val="center"/>
          </w:tcPr>
          <w:p w14:paraId="0F82A7F2">
            <w:pPr>
              <w:keepNext w:val="0"/>
              <w:keepLines w:val="0"/>
              <w:pageBreakBefore w:val="0"/>
              <w:widowControl w:val="0"/>
              <w:suppressLineNumbers w:val="0"/>
              <w:kinsoku/>
              <w:wordWrap/>
              <w:overflowPunct w:val="0"/>
              <w:topLinePunct w:val="0"/>
              <w:autoSpaceDE/>
              <w:autoSpaceDN/>
              <w:bidi w:val="0"/>
              <w:adjustRightInd/>
              <w:snapToGrid/>
              <w:spacing w:line="400" w:lineRule="exact"/>
              <w:jc w:val="left"/>
              <w:textAlignment w:val="center"/>
              <w:rPr>
                <w:rFonts w:hint="default" w:ascii="Times New Roman" w:hAnsi="Times New Roman" w:eastAsia="方正仿宋_GBK" w:cs="Times New Roman"/>
                <w:color w:val="000000"/>
                <w:sz w:val="24"/>
                <w:szCs w:val="24"/>
                <w:u w:val="none"/>
                <w:lang w:bidi="ar-SA"/>
              </w:rPr>
            </w:pPr>
            <w:r>
              <w:rPr>
                <w:rFonts w:hint="default" w:ascii="Times New Roman" w:hAnsi="Times New Roman" w:eastAsia="方正仿宋_GBK" w:cs="Times New Roman"/>
                <w:color w:val="000000"/>
                <w:kern w:val="0"/>
                <w:sz w:val="24"/>
                <w:szCs w:val="24"/>
                <w:u w:val="none"/>
                <w:lang w:val="en-US" w:eastAsia="zh-CN" w:bidi="ar"/>
              </w:rPr>
              <w:t>肉牛肉羊高效集约养殖场：包括养殖圈舍、精准饲喂、环境控制、疫病防控和粪污处理等设施设备；穗茎兼收玉米收获机、揉丝机等饲料收贮与加工设备购置</w:t>
            </w:r>
          </w:p>
        </w:tc>
      </w:tr>
      <w:tr w14:paraId="484A2B78">
        <w:tblPrEx>
          <w:tblCellMar>
            <w:top w:w="0" w:type="dxa"/>
            <w:left w:w="108" w:type="dxa"/>
            <w:bottom w:w="0" w:type="dxa"/>
            <w:right w:w="108" w:type="dxa"/>
          </w:tblCellMar>
        </w:tblPrEx>
        <w:trPr>
          <w:trHeight w:val="510" w:hRule="atLeast"/>
          <w:jc w:val="center"/>
        </w:trPr>
        <w:tc>
          <w:tcPr>
            <w:tcW w:w="1416" w:type="dxa"/>
            <w:vMerge w:val="continue"/>
            <w:tcBorders>
              <w:top w:val="single" w:color="000000" w:sz="4" w:space="0"/>
              <w:left w:val="single" w:color="000000" w:sz="4" w:space="0"/>
              <w:bottom w:val="single" w:color="000000" w:sz="4" w:space="0"/>
              <w:right w:val="single" w:color="000000" w:sz="4" w:space="0"/>
            </w:tcBorders>
            <w:noWrap w:val="0"/>
            <w:vAlign w:val="center"/>
          </w:tcPr>
          <w:p w14:paraId="31F71BAB">
            <w:pPr>
              <w:keepNext w:val="0"/>
              <w:keepLines w:val="0"/>
              <w:pageBreakBefore w:val="0"/>
              <w:widowControl w:val="0"/>
              <w:kinsoku/>
              <w:wordWrap/>
              <w:overflowPunct w:val="0"/>
              <w:topLinePunct w:val="0"/>
              <w:autoSpaceDE/>
              <w:autoSpaceDN/>
              <w:bidi w:val="0"/>
              <w:adjustRightInd/>
              <w:snapToGrid/>
              <w:spacing w:line="400" w:lineRule="exact"/>
              <w:rPr>
                <w:rFonts w:hint="default" w:ascii="Times New Roman" w:hAnsi="Times New Roman" w:eastAsia="方正仿宋_GBK" w:cs="Times New Roman"/>
              </w:rPr>
            </w:pPr>
          </w:p>
        </w:tc>
        <w:tc>
          <w:tcPr>
            <w:tcW w:w="7425" w:type="dxa"/>
            <w:tcBorders>
              <w:top w:val="single" w:color="000000" w:sz="4" w:space="0"/>
              <w:left w:val="single" w:color="000000" w:sz="4" w:space="0"/>
              <w:bottom w:val="single" w:color="000000" w:sz="4" w:space="0"/>
              <w:right w:val="single" w:color="000000" w:sz="4" w:space="0"/>
            </w:tcBorders>
            <w:noWrap w:val="0"/>
            <w:vAlign w:val="center"/>
          </w:tcPr>
          <w:p w14:paraId="7AF05489">
            <w:pPr>
              <w:keepNext w:val="0"/>
              <w:keepLines w:val="0"/>
              <w:pageBreakBefore w:val="0"/>
              <w:widowControl w:val="0"/>
              <w:suppressLineNumbers w:val="0"/>
              <w:kinsoku/>
              <w:wordWrap/>
              <w:overflowPunct w:val="0"/>
              <w:topLinePunct w:val="0"/>
              <w:autoSpaceDE/>
              <w:autoSpaceDN/>
              <w:bidi w:val="0"/>
              <w:adjustRightInd/>
              <w:snapToGrid/>
              <w:spacing w:line="400" w:lineRule="exact"/>
              <w:jc w:val="left"/>
              <w:textAlignment w:val="center"/>
              <w:rPr>
                <w:rFonts w:hint="default" w:ascii="Times New Roman" w:hAnsi="Times New Roman" w:eastAsia="方正仿宋_GBK" w:cs="Times New Roman"/>
                <w:color w:val="000000"/>
                <w:sz w:val="24"/>
                <w:szCs w:val="24"/>
                <w:u w:val="none"/>
                <w:lang w:bidi="ar-SA"/>
              </w:rPr>
            </w:pPr>
            <w:r>
              <w:rPr>
                <w:rFonts w:hint="default" w:ascii="Times New Roman" w:hAnsi="Times New Roman" w:eastAsia="方正仿宋_GBK" w:cs="Times New Roman"/>
                <w:color w:val="000000"/>
                <w:kern w:val="0"/>
                <w:sz w:val="24"/>
                <w:szCs w:val="24"/>
                <w:u w:val="none"/>
                <w:lang w:val="en-US" w:eastAsia="zh-CN" w:bidi="ar"/>
              </w:rPr>
              <w:t>奶牛智慧牧场：建设智慧养殖圈舍，配备自动喷淋、环境控制、自动饲喂等数字化设施设备，以及智能项圈、计步定位、自动计量、个体识别等物联化设备改造；粪污处理设施；自动挤奶、自动计量、生鲜乳质量检验检测以及冷链储存运输等设施设备；优质饲草料种植、收获、加工、贮存设施建设与设备购置</w:t>
            </w:r>
          </w:p>
        </w:tc>
      </w:tr>
      <w:tr w14:paraId="3DBAE4E7">
        <w:tblPrEx>
          <w:tblCellMar>
            <w:top w:w="0" w:type="dxa"/>
            <w:left w:w="108" w:type="dxa"/>
            <w:bottom w:w="0" w:type="dxa"/>
            <w:right w:w="108" w:type="dxa"/>
          </w:tblCellMar>
        </w:tblPrEx>
        <w:trPr>
          <w:trHeight w:val="510" w:hRule="atLeast"/>
          <w:jc w:val="center"/>
        </w:trPr>
        <w:tc>
          <w:tcPr>
            <w:tcW w:w="1416" w:type="dxa"/>
            <w:vMerge w:val="restart"/>
            <w:tcBorders>
              <w:top w:val="single" w:color="000000" w:sz="4" w:space="0"/>
              <w:left w:val="single" w:color="000000" w:sz="4" w:space="0"/>
              <w:bottom w:val="single" w:color="000000" w:sz="4" w:space="0"/>
              <w:right w:val="single" w:color="000000" w:sz="4" w:space="0"/>
            </w:tcBorders>
            <w:noWrap w:val="0"/>
            <w:vAlign w:val="center"/>
          </w:tcPr>
          <w:p w14:paraId="7A4D568E">
            <w:pPr>
              <w:keepNext w:val="0"/>
              <w:keepLines w:val="0"/>
              <w:pageBreakBefore w:val="0"/>
              <w:widowControl w:val="0"/>
              <w:suppressLineNumbers w:val="0"/>
              <w:kinsoku/>
              <w:wordWrap/>
              <w:overflowPunct w:val="0"/>
              <w:topLinePunct w:val="0"/>
              <w:autoSpaceDE/>
              <w:autoSpaceDN/>
              <w:bidi w:val="0"/>
              <w:adjustRightInd/>
              <w:snapToGrid/>
              <w:spacing w:line="400" w:lineRule="exact"/>
              <w:jc w:val="center"/>
              <w:textAlignment w:val="center"/>
              <w:rPr>
                <w:rFonts w:hint="default" w:ascii="Times New Roman" w:hAnsi="Times New Roman" w:eastAsia="方正仿宋_GBK" w:cs="Times New Roman"/>
                <w:color w:val="000000"/>
                <w:sz w:val="24"/>
                <w:szCs w:val="24"/>
                <w:u w:val="none"/>
                <w:lang w:bidi="ar-SA"/>
              </w:rPr>
            </w:pPr>
            <w:r>
              <w:rPr>
                <w:rFonts w:hint="default" w:ascii="Times New Roman" w:hAnsi="Times New Roman" w:eastAsia="方正仿宋_GBK" w:cs="Times New Roman"/>
                <w:color w:val="000000"/>
                <w:kern w:val="0"/>
                <w:sz w:val="24"/>
                <w:szCs w:val="24"/>
                <w:u w:val="none"/>
                <w:lang w:val="en-US" w:eastAsia="zh-CN" w:bidi="ar"/>
              </w:rPr>
              <w:t>设施渔业</w:t>
            </w:r>
          </w:p>
        </w:tc>
        <w:tc>
          <w:tcPr>
            <w:tcW w:w="7425" w:type="dxa"/>
            <w:tcBorders>
              <w:top w:val="single" w:color="000000" w:sz="4" w:space="0"/>
              <w:left w:val="single" w:color="000000" w:sz="4" w:space="0"/>
              <w:bottom w:val="single" w:color="000000" w:sz="4" w:space="0"/>
              <w:right w:val="single" w:color="000000" w:sz="4" w:space="0"/>
            </w:tcBorders>
            <w:noWrap w:val="0"/>
            <w:vAlign w:val="center"/>
          </w:tcPr>
          <w:p w14:paraId="23451284">
            <w:pPr>
              <w:keepNext w:val="0"/>
              <w:keepLines w:val="0"/>
              <w:pageBreakBefore w:val="0"/>
              <w:widowControl w:val="0"/>
              <w:suppressLineNumbers w:val="0"/>
              <w:kinsoku/>
              <w:wordWrap/>
              <w:overflowPunct w:val="0"/>
              <w:topLinePunct w:val="0"/>
              <w:autoSpaceDE/>
              <w:autoSpaceDN/>
              <w:bidi w:val="0"/>
              <w:adjustRightInd/>
              <w:snapToGrid/>
              <w:spacing w:line="400" w:lineRule="exact"/>
              <w:jc w:val="left"/>
              <w:textAlignment w:val="center"/>
              <w:rPr>
                <w:rFonts w:hint="default" w:ascii="Times New Roman" w:hAnsi="Times New Roman" w:eastAsia="方正仿宋_GBK" w:cs="Times New Roman"/>
                <w:color w:val="000000"/>
                <w:sz w:val="24"/>
                <w:szCs w:val="24"/>
                <w:u w:val="none"/>
                <w:lang w:bidi="ar-SA"/>
              </w:rPr>
            </w:pPr>
            <w:r>
              <w:rPr>
                <w:rFonts w:hint="default" w:ascii="Times New Roman" w:hAnsi="Times New Roman" w:eastAsia="方正仿宋_GBK" w:cs="Times New Roman"/>
                <w:color w:val="000000"/>
                <w:kern w:val="0"/>
                <w:sz w:val="24"/>
                <w:szCs w:val="24"/>
                <w:u w:val="none"/>
                <w:lang w:val="en-US" w:eastAsia="zh-CN" w:bidi="ar"/>
              </w:rPr>
              <w:t>池塘设施渔业养殖场建设（单个池塘集中连片</w:t>
            </w:r>
            <w:r>
              <w:rPr>
                <w:rStyle w:val="7"/>
                <w:rFonts w:hint="default" w:ascii="Times New Roman" w:hAnsi="Times New Roman" w:eastAsia="方正仿宋_GBK" w:cs="Times New Roman"/>
                <w:b w:val="0"/>
                <w:bCs/>
                <w:lang w:val="en-US" w:eastAsia="zh-CN" w:bidi="ar"/>
              </w:rPr>
              <w:t>2000</w:t>
            </w:r>
            <w:r>
              <w:rPr>
                <w:rStyle w:val="9"/>
                <w:rFonts w:hint="default" w:ascii="Times New Roman" w:hAnsi="Times New Roman" w:eastAsia="方正仿宋_GBK" w:cs="Times New Roman"/>
                <w:lang w:val="en-US" w:eastAsia="zh-CN" w:bidi="ar"/>
              </w:rPr>
              <w:t>亩以上，含进排水及处理设施设备）</w:t>
            </w:r>
          </w:p>
        </w:tc>
      </w:tr>
      <w:tr w14:paraId="32913CCF">
        <w:tblPrEx>
          <w:tblCellMar>
            <w:top w:w="0" w:type="dxa"/>
            <w:left w:w="108" w:type="dxa"/>
            <w:bottom w:w="0" w:type="dxa"/>
            <w:right w:w="108" w:type="dxa"/>
          </w:tblCellMar>
        </w:tblPrEx>
        <w:trPr>
          <w:trHeight w:val="510" w:hRule="atLeast"/>
          <w:jc w:val="center"/>
        </w:trPr>
        <w:tc>
          <w:tcPr>
            <w:tcW w:w="1416" w:type="dxa"/>
            <w:vMerge w:val="continue"/>
            <w:tcBorders>
              <w:top w:val="single" w:color="000000" w:sz="4" w:space="0"/>
              <w:left w:val="single" w:color="000000" w:sz="4" w:space="0"/>
              <w:bottom w:val="single" w:color="000000" w:sz="4" w:space="0"/>
              <w:right w:val="single" w:color="000000" w:sz="4" w:space="0"/>
            </w:tcBorders>
            <w:noWrap w:val="0"/>
            <w:vAlign w:val="center"/>
          </w:tcPr>
          <w:p w14:paraId="06E61850">
            <w:pPr>
              <w:keepNext w:val="0"/>
              <w:keepLines w:val="0"/>
              <w:pageBreakBefore w:val="0"/>
              <w:widowControl w:val="0"/>
              <w:kinsoku/>
              <w:wordWrap/>
              <w:overflowPunct w:val="0"/>
              <w:topLinePunct w:val="0"/>
              <w:autoSpaceDE/>
              <w:autoSpaceDN/>
              <w:bidi w:val="0"/>
              <w:adjustRightInd/>
              <w:snapToGrid/>
              <w:spacing w:line="400" w:lineRule="exact"/>
              <w:rPr>
                <w:rFonts w:hint="default" w:ascii="Times New Roman" w:hAnsi="Times New Roman" w:eastAsia="方正仿宋_GBK" w:cs="Times New Roman"/>
              </w:rPr>
            </w:pPr>
          </w:p>
        </w:tc>
        <w:tc>
          <w:tcPr>
            <w:tcW w:w="7425" w:type="dxa"/>
            <w:tcBorders>
              <w:top w:val="single" w:color="000000" w:sz="4" w:space="0"/>
              <w:left w:val="single" w:color="000000" w:sz="4" w:space="0"/>
              <w:bottom w:val="single" w:color="000000" w:sz="4" w:space="0"/>
              <w:right w:val="single" w:color="000000" w:sz="4" w:space="0"/>
            </w:tcBorders>
            <w:noWrap w:val="0"/>
            <w:vAlign w:val="center"/>
          </w:tcPr>
          <w:p w14:paraId="22D85F7D">
            <w:pPr>
              <w:keepNext w:val="0"/>
              <w:keepLines w:val="0"/>
              <w:pageBreakBefore w:val="0"/>
              <w:widowControl w:val="0"/>
              <w:suppressLineNumbers w:val="0"/>
              <w:kinsoku/>
              <w:wordWrap/>
              <w:overflowPunct w:val="0"/>
              <w:topLinePunct w:val="0"/>
              <w:autoSpaceDE/>
              <w:autoSpaceDN/>
              <w:bidi w:val="0"/>
              <w:adjustRightInd/>
              <w:snapToGrid/>
              <w:spacing w:line="400" w:lineRule="exact"/>
              <w:jc w:val="left"/>
              <w:textAlignment w:val="center"/>
              <w:rPr>
                <w:rFonts w:hint="default" w:ascii="Times New Roman" w:hAnsi="Times New Roman" w:eastAsia="方正仿宋_GBK" w:cs="Times New Roman"/>
                <w:color w:val="000000"/>
                <w:sz w:val="24"/>
                <w:szCs w:val="24"/>
                <w:u w:val="none"/>
                <w:lang w:bidi="ar-SA"/>
              </w:rPr>
            </w:pPr>
            <w:r>
              <w:rPr>
                <w:rFonts w:hint="default" w:ascii="Times New Roman" w:hAnsi="Times New Roman" w:eastAsia="方正仿宋_GBK" w:cs="Times New Roman"/>
                <w:color w:val="000000"/>
                <w:kern w:val="0"/>
                <w:sz w:val="24"/>
                <w:szCs w:val="24"/>
                <w:u w:val="none"/>
                <w:lang w:val="en-US" w:eastAsia="zh-CN" w:bidi="ar"/>
              </w:rPr>
              <w:t>工厂化设施渔业养殖场建设（单个养殖场车间面积达</w:t>
            </w:r>
            <w:r>
              <w:rPr>
                <w:rStyle w:val="7"/>
                <w:rFonts w:hint="default" w:ascii="Times New Roman" w:hAnsi="Times New Roman" w:eastAsia="方正仿宋_GBK" w:cs="Times New Roman"/>
                <w:b w:val="0"/>
                <w:bCs/>
                <w:lang w:val="en-US" w:eastAsia="zh-CN" w:bidi="ar"/>
              </w:rPr>
              <w:t>3</w:t>
            </w:r>
            <w:r>
              <w:rPr>
                <w:rStyle w:val="9"/>
                <w:rFonts w:hint="default" w:ascii="Times New Roman" w:hAnsi="Times New Roman" w:eastAsia="方正仿宋_GBK" w:cs="Times New Roman"/>
                <w:lang w:val="en-US" w:eastAsia="zh-CN" w:bidi="ar"/>
              </w:rPr>
              <w:t>万平方米，含精准投饲、分级计数、起捕采收、水质监控、尾水处理、循环水养殖设施装备）</w:t>
            </w:r>
          </w:p>
        </w:tc>
      </w:tr>
      <w:tr w14:paraId="579FA64C">
        <w:tblPrEx>
          <w:tblCellMar>
            <w:top w:w="0" w:type="dxa"/>
            <w:left w:w="108" w:type="dxa"/>
            <w:bottom w:w="0" w:type="dxa"/>
            <w:right w:w="108" w:type="dxa"/>
          </w:tblCellMar>
        </w:tblPrEx>
        <w:trPr>
          <w:trHeight w:val="510" w:hRule="atLeast"/>
          <w:jc w:val="center"/>
        </w:trPr>
        <w:tc>
          <w:tcPr>
            <w:tcW w:w="1416" w:type="dxa"/>
            <w:vMerge w:val="continue"/>
            <w:tcBorders>
              <w:top w:val="single" w:color="000000" w:sz="4" w:space="0"/>
              <w:left w:val="single" w:color="000000" w:sz="4" w:space="0"/>
              <w:bottom w:val="single" w:color="000000" w:sz="4" w:space="0"/>
              <w:right w:val="single" w:color="000000" w:sz="4" w:space="0"/>
            </w:tcBorders>
            <w:noWrap w:val="0"/>
            <w:vAlign w:val="center"/>
          </w:tcPr>
          <w:p w14:paraId="0278652D">
            <w:pPr>
              <w:keepNext w:val="0"/>
              <w:keepLines w:val="0"/>
              <w:pageBreakBefore w:val="0"/>
              <w:widowControl w:val="0"/>
              <w:kinsoku/>
              <w:wordWrap/>
              <w:overflowPunct w:val="0"/>
              <w:topLinePunct w:val="0"/>
              <w:autoSpaceDE/>
              <w:autoSpaceDN/>
              <w:bidi w:val="0"/>
              <w:adjustRightInd/>
              <w:snapToGrid/>
              <w:spacing w:line="400" w:lineRule="exact"/>
              <w:rPr>
                <w:rFonts w:hint="default" w:ascii="Times New Roman" w:hAnsi="Times New Roman" w:eastAsia="方正仿宋_GBK" w:cs="Times New Roman"/>
              </w:rPr>
            </w:pPr>
          </w:p>
        </w:tc>
        <w:tc>
          <w:tcPr>
            <w:tcW w:w="7425" w:type="dxa"/>
            <w:tcBorders>
              <w:top w:val="single" w:color="000000" w:sz="4" w:space="0"/>
              <w:left w:val="single" w:color="000000" w:sz="4" w:space="0"/>
              <w:bottom w:val="single" w:color="000000" w:sz="4" w:space="0"/>
              <w:right w:val="single" w:color="000000" w:sz="4" w:space="0"/>
            </w:tcBorders>
            <w:noWrap w:val="0"/>
            <w:vAlign w:val="center"/>
          </w:tcPr>
          <w:p w14:paraId="2B02604F">
            <w:pPr>
              <w:keepNext w:val="0"/>
              <w:keepLines w:val="0"/>
              <w:pageBreakBefore w:val="0"/>
              <w:widowControl w:val="0"/>
              <w:suppressLineNumbers w:val="0"/>
              <w:kinsoku/>
              <w:wordWrap/>
              <w:overflowPunct w:val="0"/>
              <w:topLinePunct w:val="0"/>
              <w:autoSpaceDE/>
              <w:autoSpaceDN/>
              <w:bidi w:val="0"/>
              <w:adjustRightInd/>
              <w:snapToGrid/>
              <w:spacing w:line="400" w:lineRule="exact"/>
              <w:jc w:val="left"/>
              <w:textAlignment w:val="center"/>
              <w:rPr>
                <w:rFonts w:hint="default" w:ascii="Times New Roman" w:hAnsi="Times New Roman" w:eastAsia="方正仿宋_GBK" w:cs="Times New Roman"/>
                <w:color w:val="000000"/>
                <w:sz w:val="24"/>
                <w:szCs w:val="24"/>
                <w:u w:val="none"/>
                <w:lang w:bidi="ar-SA"/>
              </w:rPr>
            </w:pPr>
            <w:r>
              <w:rPr>
                <w:rFonts w:hint="default" w:ascii="Times New Roman" w:hAnsi="Times New Roman" w:eastAsia="方正仿宋_GBK" w:cs="Times New Roman"/>
                <w:color w:val="000000"/>
                <w:kern w:val="0"/>
                <w:sz w:val="24"/>
                <w:szCs w:val="24"/>
                <w:u w:val="none"/>
                <w:lang w:val="en-US" w:eastAsia="zh-CN" w:bidi="ar"/>
              </w:rPr>
              <w:t>深远海大型智能化养殖渔场建设（桁架类网箱有效养殖水体不低于</w:t>
            </w:r>
            <w:r>
              <w:rPr>
                <w:rStyle w:val="7"/>
                <w:rFonts w:hint="default" w:ascii="Times New Roman" w:hAnsi="Times New Roman" w:eastAsia="方正仿宋_GBK" w:cs="Times New Roman"/>
                <w:b w:val="0"/>
                <w:bCs/>
                <w:lang w:val="en-US" w:eastAsia="zh-CN" w:bidi="ar"/>
              </w:rPr>
              <w:t>1</w:t>
            </w:r>
            <w:r>
              <w:rPr>
                <w:rStyle w:val="9"/>
                <w:rFonts w:hint="default" w:ascii="Times New Roman" w:hAnsi="Times New Roman" w:eastAsia="方正仿宋_GBK" w:cs="Times New Roman"/>
                <w:lang w:val="en-US" w:eastAsia="zh-CN" w:bidi="ar"/>
              </w:rPr>
              <w:t>万立方米、养殖工船单舱舱养结构养殖水体不低于</w:t>
            </w:r>
            <w:r>
              <w:rPr>
                <w:rStyle w:val="7"/>
                <w:rFonts w:hint="default" w:ascii="Times New Roman" w:hAnsi="Times New Roman" w:eastAsia="方正仿宋_GBK" w:cs="Times New Roman"/>
                <w:b w:val="0"/>
                <w:bCs/>
                <w:lang w:val="en-US" w:eastAsia="zh-CN" w:bidi="ar"/>
              </w:rPr>
              <w:t>8</w:t>
            </w:r>
            <w:r>
              <w:rPr>
                <w:rStyle w:val="9"/>
                <w:rFonts w:hint="default" w:ascii="Times New Roman" w:hAnsi="Times New Roman" w:eastAsia="方正仿宋_GBK" w:cs="Times New Roman"/>
                <w:lang w:val="en-US" w:eastAsia="zh-CN" w:bidi="ar"/>
              </w:rPr>
              <w:t>万立方米）</w:t>
            </w:r>
          </w:p>
        </w:tc>
      </w:tr>
      <w:tr w14:paraId="22A348DA">
        <w:tblPrEx>
          <w:tblCellMar>
            <w:top w:w="0" w:type="dxa"/>
            <w:left w:w="108" w:type="dxa"/>
            <w:bottom w:w="0" w:type="dxa"/>
            <w:right w:w="108" w:type="dxa"/>
          </w:tblCellMar>
        </w:tblPrEx>
        <w:trPr>
          <w:trHeight w:val="510" w:hRule="atLeast"/>
          <w:jc w:val="center"/>
        </w:trPr>
        <w:tc>
          <w:tcPr>
            <w:tcW w:w="1416" w:type="dxa"/>
            <w:vMerge w:val="continue"/>
            <w:tcBorders>
              <w:top w:val="single" w:color="000000" w:sz="4" w:space="0"/>
              <w:left w:val="single" w:color="000000" w:sz="4" w:space="0"/>
              <w:bottom w:val="single" w:color="000000" w:sz="4" w:space="0"/>
              <w:right w:val="single" w:color="000000" w:sz="4" w:space="0"/>
            </w:tcBorders>
            <w:noWrap w:val="0"/>
            <w:vAlign w:val="center"/>
          </w:tcPr>
          <w:p w14:paraId="6C5333CA">
            <w:pPr>
              <w:keepNext w:val="0"/>
              <w:keepLines w:val="0"/>
              <w:pageBreakBefore w:val="0"/>
              <w:widowControl w:val="0"/>
              <w:kinsoku/>
              <w:wordWrap/>
              <w:overflowPunct w:val="0"/>
              <w:topLinePunct w:val="0"/>
              <w:autoSpaceDE/>
              <w:autoSpaceDN/>
              <w:bidi w:val="0"/>
              <w:adjustRightInd/>
              <w:snapToGrid/>
              <w:spacing w:line="400" w:lineRule="exact"/>
              <w:rPr>
                <w:rFonts w:hint="default" w:ascii="Times New Roman" w:hAnsi="Times New Roman" w:eastAsia="方正仿宋_GBK" w:cs="Times New Roman"/>
              </w:rPr>
            </w:pPr>
          </w:p>
        </w:tc>
        <w:tc>
          <w:tcPr>
            <w:tcW w:w="7425" w:type="dxa"/>
            <w:tcBorders>
              <w:top w:val="single" w:color="000000" w:sz="4" w:space="0"/>
              <w:left w:val="single" w:color="000000" w:sz="4" w:space="0"/>
              <w:bottom w:val="single" w:color="000000" w:sz="4" w:space="0"/>
              <w:right w:val="single" w:color="000000" w:sz="4" w:space="0"/>
            </w:tcBorders>
            <w:noWrap/>
            <w:vAlign w:val="center"/>
          </w:tcPr>
          <w:p w14:paraId="5B91A758">
            <w:pPr>
              <w:keepNext w:val="0"/>
              <w:keepLines w:val="0"/>
              <w:pageBreakBefore w:val="0"/>
              <w:widowControl w:val="0"/>
              <w:suppressLineNumbers w:val="0"/>
              <w:kinsoku/>
              <w:wordWrap/>
              <w:overflowPunct w:val="0"/>
              <w:topLinePunct w:val="0"/>
              <w:autoSpaceDE/>
              <w:autoSpaceDN/>
              <w:bidi w:val="0"/>
              <w:adjustRightInd/>
              <w:snapToGrid/>
              <w:spacing w:line="400" w:lineRule="exact"/>
              <w:jc w:val="left"/>
              <w:textAlignment w:val="center"/>
              <w:rPr>
                <w:rFonts w:hint="default" w:ascii="Times New Roman" w:hAnsi="Times New Roman" w:eastAsia="方正仿宋_GBK" w:cs="Times New Roman"/>
                <w:color w:val="000000"/>
                <w:sz w:val="24"/>
                <w:szCs w:val="24"/>
                <w:u w:val="none"/>
                <w:lang w:bidi="ar-SA"/>
              </w:rPr>
            </w:pPr>
            <w:r>
              <w:rPr>
                <w:rFonts w:hint="default" w:ascii="Times New Roman" w:hAnsi="Times New Roman" w:eastAsia="方正仿宋_GBK" w:cs="Times New Roman"/>
                <w:color w:val="000000"/>
                <w:kern w:val="0"/>
                <w:sz w:val="24"/>
                <w:szCs w:val="24"/>
                <w:u w:val="none"/>
                <w:lang w:val="en-US" w:eastAsia="zh-CN" w:bidi="ar"/>
              </w:rPr>
              <w:t>中心渔港建设</w:t>
            </w:r>
          </w:p>
        </w:tc>
      </w:tr>
      <w:tr w14:paraId="23169C84">
        <w:tblPrEx>
          <w:tblCellMar>
            <w:top w:w="0" w:type="dxa"/>
            <w:left w:w="108" w:type="dxa"/>
            <w:bottom w:w="0" w:type="dxa"/>
            <w:right w:w="108" w:type="dxa"/>
          </w:tblCellMar>
        </w:tblPrEx>
        <w:trPr>
          <w:trHeight w:val="510" w:hRule="atLeast"/>
          <w:jc w:val="center"/>
        </w:trPr>
        <w:tc>
          <w:tcPr>
            <w:tcW w:w="1416" w:type="dxa"/>
            <w:vMerge w:val="continue"/>
            <w:tcBorders>
              <w:top w:val="single" w:color="000000" w:sz="4" w:space="0"/>
              <w:left w:val="single" w:color="000000" w:sz="4" w:space="0"/>
              <w:bottom w:val="single" w:color="000000" w:sz="4" w:space="0"/>
              <w:right w:val="single" w:color="000000" w:sz="4" w:space="0"/>
            </w:tcBorders>
            <w:noWrap w:val="0"/>
            <w:vAlign w:val="center"/>
          </w:tcPr>
          <w:p w14:paraId="078A57E4">
            <w:pPr>
              <w:keepNext w:val="0"/>
              <w:keepLines w:val="0"/>
              <w:pageBreakBefore w:val="0"/>
              <w:widowControl w:val="0"/>
              <w:kinsoku/>
              <w:wordWrap/>
              <w:overflowPunct w:val="0"/>
              <w:topLinePunct w:val="0"/>
              <w:autoSpaceDE/>
              <w:autoSpaceDN/>
              <w:bidi w:val="0"/>
              <w:adjustRightInd/>
              <w:snapToGrid/>
              <w:spacing w:line="400" w:lineRule="exact"/>
              <w:rPr>
                <w:rFonts w:hint="default" w:ascii="Times New Roman" w:hAnsi="Times New Roman" w:eastAsia="方正仿宋_GBK" w:cs="Times New Roman"/>
              </w:rPr>
            </w:pPr>
          </w:p>
        </w:tc>
        <w:tc>
          <w:tcPr>
            <w:tcW w:w="7425" w:type="dxa"/>
            <w:tcBorders>
              <w:top w:val="single" w:color="000000" w:sz="4" w:space="0"/>
              <w:left w:val="single" w:color="000000" w:sz="4" w:space="0"/>
              <w:bottom w:val="single" w:color="000000" w:sz="4" w:space="0"/>
              <w:right w:val="single" w:color="000000" w:sz="4" w:space="0"/>
            </w:tcBorders>
            <w:noWrap/>
            <w:vAlign w:val="center"/>
          </w:tcPr>
          <w:p w14:paraId="64EB8BA9">
            <w:pPr>
              <w:keepNext w:val="0"/>
              <w:keepLines w:val="0"/>
              <w:pageBreakBefore w:val="0"/>
              <w:widowControl w:val="0"/>
              <w:suppressLineNumbers w:val="0"/>
              <w:kinsoku/>
              <w:wordWrap/>
              <w:overflowPunct w:val="0"/>
              <w:topLinePunct w:val="0"/>
              <w:autoSpaceDE/>
              <w:autoSpaceDN/>
              <w:bidi w:val="0"/>
              <w:adjustRightInd/>
              <w:snapToGrid/>
              <w:spacing w:line="400" w:lineRule="exact"/>
              <w:jc w:val="left"/>
              <w:textAlignment w:val="center"/>
              <w:rPr>
                <w:rFonts w:hint="default" w:ascii="Times New Roman" w:hAnsi="Times New Roman" w:eastAsia="方正仿宋_GBK" w:cs="Times New Roman"/>
                <w:color w:val="000000"/>
                <w:sz w:val="24"/>
                <w:szCs w:val="24"/>
                <w:u w:val="none"/>
                <w:lang w:bidi="ar-SA"/>
              </w:rPr>
            </w:pPr>
            <w:bookmarkStart w:id="0" w:name="_GoBack"/>
            <w:bookmarkEnd w:id="0"/>
            <w:r>
              <w:rPr>
                <w:rFonts w:hint="default" w:ascii="Times New Roman" w:hAnsi="Times New Roman" w:eastAsia="方正仿宋_GBK" w:cs="Times New Roman"/>
                <w:color w:val="000000"/>
                <w:kern w:val="0"/>
                <w:sz w:val="24"/>
                <w:szCs w:val="24"/>
                <w:u w:val="none"/>
                <w:lang w:val="en-US" w:eastAsia="zh-CN" w:bidi="ar"/>
              </w:rPr>
              <w:t>一级渔港建设</w:t>
            </w:r>
          </w:p>
        </w:tc>
      </w:tr>
      <w:tr w14:paraId="68DE2E90">
        <w:tblPrEx>
          <w:tblCellMar>
            <w:top w:w="0" w:type="dxa"/>
            <w:left w:w="108" w:type="dxa"/>
            <w:bottom w:w="0" w:type="dxa"/>
            <w:right w:w="108" w:type="dxa"/>
          </w:tblCellMar>
        </w:tblPrEx>
        <w:trPr>
          <w:trHeight w:val="510" w:hRule="atLeast"/>
          <w:jc w:val="center"/>
        </w:trPr>
        <w:tc>
          <w:tcPr>
            <w:tcW w:w="1416" w:type="dxa"/>
            <w:vMerge w:val="restart"/>
            <w:tcBorders>
              <w:top w:val="single" w:color="000000" w:sz="4" w:space="0"/>
              <w:left w:val="single" w:color="000000" w:sz="4" w:space="0"/>
              <w:bottom w:val="single" w:color="000000" w:sz="4" w:space="0"/>
              <w:right w:val="single" w:color="000000" w:sz="4" w:space="0"/>
            </w:tcBorders>
            <w:noWrap w:val="0"/>
            <w:vAlign w:val="center"/>
          </w:tcPr>
          <w:p w14:paraId="2E9941A8">
            <w:pPr>
              <w:keepNext w:val="0"/>
              <w:keepLines w:val="0"/>
              <w:pageBreakBefore w:val="0"/>
              <w:widowControl w:val="0"/>
              <w:suppressLineNumbers w:val="0"/>
              <w:kinsoku/>
              <w:wordWrap/>
              <w:overflowPunct w:val="0"/>
              <w:topLinePunct w:val="0"/>
              <w:autoSpaceDE/>
              <w:autoSpaceDN/>
              <w:bidi w:val="0"/>
              <w:adjustRightInd/>
              <w:snapToGrid/>
              <w:spacing w:line="400" w:lineRule="exact"/>
              <w:jc w:val="center"/>
              <w:textAlignment w:val="center"/>
              <w:rPr>
                <w:rFonts w:hint="default" w:ascii="Times New Roman" w:hAnsi="Times New Roman" w:eastAsia="方正仿宋_GBK" w:cs="Times New Roman"/>
                <w:color w:val="000000"/>
                <w:sz w:val="24"/>
                <w:szCs w:val="24"/>
                <w:u w:val="none"/>
                <w:lang w:bidi="ar-SA"/>
              </w:rPr>
            </w:pPr>
            <w:r>
              <w:rPr>
                <w:rFonts w:hint="default" w:ascii="Times New Roman" w:hAnsi="Times New Roman" w:eastAsia="方正仿宋_GBK" w:cs="Times New Roman"/>
                <w:color w:val="000000"/>
                <w:kern w:val="0"/>
                <w:sz w:val="24"/>
                <w:szCs w:val="24"/>
                <w:u w:val="none"/>
                <w:lang w:val="en-US" w:eastAsia="zh-CN" w:bidi="ar"/>
              </w:rPr>
              <w:t>冷链物流和烘干设施</w:t>
            </w:r>
          </w:p>
        </w:tc>
        <w:tc>
          <w:tcPr>
            <w:tcW w:w="7425" w:type="dxa"/>
            <w:tcBorders>
              <w:top w:val="single" w:color="000000" w:sz="4" w:space="0"/>
              <w:left w:val="single" w:color="000000" w:sz="4" w:space="0"/>
              <w:bottom w:val="single" w:color="000000" w:sz="4" w:space="0"/>
              <w:right w:val="single" w:color="000000" w:sz="4" w:space="0"/>
            </w:tcBorders>
            <w:noWrap w:val="0"/>
            <w:vAlign w:val="center"/>
          </w:tcPr>
          <w:p w14:paraId="296D8964">
            <w:pPr>
              <w:keepNext w:val="0"/>
              <w:keepLines w:val="0"/>
              <w:pageBreakBefore w:val="0"/>
              <w:widowControl w:val="0"/>
              <w:suppressLineNumbers w:val="0"/>
              <w:kinsoku/>
              <w:wordWrap/>
              <w:overflowPunct w:val="0"/>
              <w:topLinePunct w:val="0"/>
              <w:autoSpaceDE/>
              <w:autoSpaceDN/>
              <w:bidi w:val="0"/>
              <w:adjustRightInd/>
              <w:snapToGrid/>
              <w:spacing w:line="400" w:lineRule="exact"/>
              <w:jc w:val="left"/>
              <w:textAlignment w:val="center"/>
              <w:rPr>
                <w:rFonts w:hint="default" w:ascii="Times New Roman" w:hAnsi="Times New Roman" w:eastAsia="方正仿宋_GBK" w:cs="Times New Roman"/>
                <w:color w:val="000000"/>
                <w:sz w:val="24"/>
                <w:szCs w:val="24"/>
                <w:u w:val="none"/>
                <w:lang w:bidi="ar-SA"/>
              </w:rPr>
            </w:pPr>
            <w:r>
              <w:rPr>
                <w:rFonts w:hint="default" w:ascii="Times New Roman" w:hAnsi="Times New Roman" w:eastAsia="方正仿宋_GBK" w:cs="Times New Roman"/>
                <w:color w:val="000000"/>
                <w:kern w:val="0"/>
                <w:sz w:val="24"/>
                <w:szCs w:val="24"/>
                <w:u w:val="none"/>
                <w:lang w:val="en-US" w:eastAsia="zh-CN" w:bidi="ar"/>
              </w:rPr>
              <w:t>产地仓储保鲜设施（含预冷冷却设施设备、冻结设施设备、机械冷藏库、气调冷藏库、必要的称量、清洗、分级、分切、输送、检测及供配电等其他配套设施设备）</w:t>
            </w:r>
          </w:p>
        </w:tc>
      </w:tr>
      <w:tr w14:paraId="7C39B98A">
        <w:tblPrEx>
          <w:tblCellMar>
            <w:top w:w="0" w:type="dxa"/>
            <w:left w:w="108" w:type="dxa"/>
            <w:bottom w:w="0" w:type="dxa"/>
            <w:right w:w="108" w:type="dxa"/>
          </w:tblCellMar>
        </w:tblPrEx>
        <w:trPr>
          <w:trHeight w:val="510" w:hRule="atLeast"/>
          <w:jc w:val="center"/>
        </w:trPr>
        <w:tc>
          <w:tcPr>
            <w:tcW w:w="1416" w:type="dxa"/>
            <w:vMerge w:val="continue"/>
            <w:tcBorders>
              <w:top w:val="single" w:color="000000" w:sz="4" w:space="0"/>
              <w:left w:val="single" w:color="000000" w:sz="4" w:space="0"/>
              <w:bottom w:val="single" w:color="000000" w:sz="4" w:space="0"/>
              <w:right w:val="single" w:color="000000" w:sz="4" w:space="0"/>
            </w:tcBorders>
            <w:noWrap w:val="0"/>
            <w:vAlign w:val="center"/>
          </w:tcPr>
          <w:p w14:paraId="10CD20E0">
            <w:pPr>
              <w:keepNext w:val="0"/>
              <w:keepLines w:val="0"/>
              <w:pageBreakBefore w:val="0"/>
              <w:widowControl w:val="0"/>
              <w:kinsoku/>
              <w:wordWrap/>
              <w:overflowPunct w:val="0"/>
              <w:topLinePunct w:val="0"/>
              <w:autoSpaceDE/>
              <w:autoSpaceDN/>
              <w:bidi w:val="0"/>
              <w:adjustRightInd/>
              <w:snapToGrid/>
              <w:spacing w:line="400" w:lineRule="exact"/>
              <w:rPr>
                <w:rFonts w:hint="default" w:ascii="Times New Roman" w:hAnsi="Times New Roman" w:eastAsia="方正仿宋_GBK" w:cs="Times New Roman"/>
              </w:rPr>
            </w:pPr>
          </w:p>
        </w:tc>
        <w:tc>
          <w:tcPr>
            <w:tcW w:w="7425" w:type="dxa"/>
            <w:tcBorders>
              <w:top w:val="single" w:color="000000" w:sz="4" w:space="0"/>
              <w:left w:val="single" w:color="000000" w:sz="4" w:space="0"/>
              <w:bottom w:val="single" w:color="000000" w:sz="4" w:space="0"/>
              <w:right w:val="single" w:color="000000" w:sz="4" w:space="0"/>
            </w:tcBorders>
            <w:noWrap w:val="0"/>
            <w:vAlign w:val="center"/>
          </w:tcPr>
          <w:p w14:paraId="65B24730">
            <w:pPr>
              <w:keepNext w:val="0"/>
              <w:keepLines w:val="0"/>
              <w:pageBreakBefore w:val="0"/>
              <w:widowControl w:val="0"/>
              <w:suppressLineNumbers w:val="0"/>
              <w:kinsoku/>
              <w:wordWrap/>
              <w:overflowPunct w:val="0"/>
              <w:topLinePunct w:val="0"/>
              <w:autoSpaceDE/>
              <w:autoSpaceDN/>
              <w:bidi w:val="0"/>
              <w:adjustRightInd/>
              <w:snapToGrid/>
              <w:spacing w:line="400" w:lineRule="exact"/>
              <w:jc w:val="left"/>
              <w:textAlignment w:val="center"/>
              <w:rPr>
                <w:rFonts w:hint="default" w:ascii="Times New Roman" w:hAnsi="Times New Roman" w:eastAsia="方正仿宋_GBK" w:cs="Times New Roman"/>
                <w:color w:val="000000"/>
                <w:sz w:val="24"/>
                <w:szCs w:val="24"/>
                <w:u w:val="none"/>
                <w:lang w:bidi="ar-SA"/>
              </w:rPr>
            </w:pPr>
            <w:r>
              <w:rPr>
                <w:rFonts w:hint="default" w:ascii="Times New Roman" w:hAnsi="Times New Roman" w:eastAsia="方正仿宋_GBK" w:cs="Times New Roman"/>
                <w:color w:val="000000"/>
                <w:kern w:val="0"/>
                <w:sz w:val="24"/>
                <w:szCs w:val="24"/>
                <w:u w:val="none"/>
                <w:lang w:val="en-US" w:eastAsia="zh-CN" w:bidi="ar"/>
              </w:rPr>
              <w:t>产地冷链集配中心（含集货、预冷、分选、加工、冷藏、发货、检测、收储、信息等功能的设施设备）</w:t>
            </w:r>
          </w:p>
        </w:tc>
      </w:tr>
      <w:tr w14:paraId="756F4466">
        <w:tblPrEx>
          <w:tblCellMar>
            <w:top w:w="0" w:type="dxa"/>
            <w:left w:w="108" w:type="dxa"/>
            <w:bottom w:w="0" w:type="dxa"/>
            <w:right w:w="108" w:type="dxa"/>
          </w:tblCellMar>
        </w:tblPrEx>
        <w:trPr>
          <w:trHeight w:val="510" w:hRule="atLeast"/>
          <w:jc w:val="center"/>
        </w:trPr>
        <w:tc>
          <w:tcPr>
            <w:tcW w:w="1416" w:type="dxa"/>
            <w:vMerge w:val="continue"/>
            <w:tcBorders>
              <w:top w:val="single" w:color="000000" w:sz="4" w:space="0"/>
              <w:left w:val="single" w:color="000000" w:sz="4" w:space="0"/>
              <w:bottom w:val="single" w:color="000000" w:sz="4" w:space="0"/>
              <w:right w:val="single" w:color="000000" w:sz="4" w:space="0"/>
            </w:tcBorders>
            <w:noWrap w:val="0"/>
            <w:vAlign w:val="center"/>
          </w:tcPr>
          <w:p w14:paraId="1ED3079D">
            <w:pPr>
              <w:keepNext w:val="0"/>
              <w:keepLines w:val="0"/>
              <w:pageBreakBefore w:val="0"/>
              <w:widowControl w:val="0"/>
              <w:kinsoku/>
              <w:wordWrap/>
              <w:overflowPunct w:val="0"/>
              <w:topLinePunct w:val="0"/>
              <w:autoSpaceDE/>
              <w:autoSpaceDN/>
              <w:bidi w:val="0"/>
              <w:adjustRightInd/>
              <w:snapToGrid/>
              <w:spacing w:line="400" w:lineRule="exact"/>
              <w:rPr>
                <w:rFonts w:hint="default" w:ascii="Times New Roman" w:hAnsi="Times New Roman" w:eastAsia="方正仿宋_GBK" w:cs="Times New Roman"/>
              </w:rPr>
            </w:pPr>
          </w:p>
        </w:tc>
        <w:tc>
          <w:tcPr>
            <w:tcW w:w="7425" w:type="dxa"/>
            <w:tcBorders>
              <w:top w:val="single" w:color="000000" w:sz="4" w:space="0"/>
              <w:left w:val="single" w:color="000000" w:sz="4" w:space="0"/>
              <w:bottom w:val="single" w:color="000000" w:sz="4" w:space="0"/>
              <w:right w:val="single" w:color="000000" w:sz="4" w:space="0"/>
            </w:tcBorders>
            <w:noWrap w:val="0"/>
            <w:vAlign w:val="center"/>
          </w:tcPr>
          <w:p w14:paraId="3CA0976A">
            <w:pPr>
              <w:keepNext w:val="0"/>
              <w:keepLines w:val="0"/>
              <w:pageBreakBefore w:val="0"/>
              <w:widowControl w:val="0"/>
              <w:suppressLineNumbers w:val="0"/>
              <w:kinsoku/>
              <w:wordWrap/>
              <w:overflowPunct w:val="0"/>
              <w:topLinePunct w:val="0"/>
              <w:autoSpaceDE/>
              <w:autoSpaceDN/>
              <w:bidi w:val="0"/>
              <w:adjustRightInd/>
              <w:snapToGrid/>
              <w:spacing w:line="400" w:lineRule="exact"/>
              <w:jc w:val="left"/>
              <w:textAlignment w:val="center"/>
              <w:rPr>
                <w:rFonts w:hint="default" w:ascii="Times New Roman" w:hAnsi="Times New Roman" w:eastAsia="方正仿宋_GBK" w:cs="Times New Roman"/>
                <w:color w:val="000000"/>
                <w:sz w:val="24"/>
                <w:szCs w:val="24"/>
                <w:u w:val="none"/>
                <w:lang w:bidi="ar-SA"/>
              </w:rPr>
            </w:pPr>
            <w:r>
              <w:rPr>
                <w:rFonts w:hint="default" w:ascii="Times New Roman" w:hAnsi="Times New Roman" w:eastAsia="方正仿宋_GBK" w:cs="Times New Roman"/>
                <w:color w:val="000000"/>
                <w:kern w:val="0"/>
                <w:sz w:val="24"/>
                <w:szCs w:val="24"/>
                <w:u w:val="none"/>
                <w:lang w:val="en-US" w:eastAsia="zh-CN" w:bidi="ar"/>
              </w:rPr>
              <w:t>烘干点、烘干中心（具备一定的产地仓储能力）</w:t>
            </w:r>
          </w:p>
        </w:tc>
      </w:tr>
    </w:tbl>
    <w:p w14:paraId="5361DF35">
      <w:pPr>
        <w:spacing w:line="380" w:lineRule="exact"/>
        <w:ind w:firstLine="609"/>
        <w:rPr>
          <w:rFonts w:hint="default" w:ascii="Times New Roman" w:hAnsi="Times New Roman" w:eastAsia="方正仿宋_GBK" w:cs="Times New Roman"/>
          <w:spacing w:val="0"/>
          <w:sz w:val="32"/>
          <w:szCs w:val="32"/>
          <w:lang w:val="en-US" w:eastAsia="zh-CN"/>
        </w:rPr>
      </w:pPr>
    </w:p>
    <w:p w14:paraId="3AC0EF7E">
      <w:pPr>
        <w:pStyle w:val="2"/>
        <w:keepNext w:val="0"/>
        <w:keepLines w:val="0"/>
        <w:pageBreakBefore w:val="0"/>
        <w:widowControl w:val="0"/>
        <w:kinsoku/>
        <w:wordWrap/>
        <w:overflowPunct/>
        <w:topLinePunct w:val="0"/>
        <w:autoSpaceDE/>
        <w:autoSpaceDN/>
        <w:bidi w:val="0"/>
        <w:adjustRightInd/>
        <w:snapToGrid/>
        <w:spacing w:line="500" w:lineRule="exact"/>
        <w:ind w:firstLine="0"/>
        <w:textAlignment w:val="auto"/>
        <w:rPr>
          <w:rFonts w:hint="default" w:ascii="Times New Roman" w:hAnsi="Times New Roman" w:eastAsia="方正楷体_GBK" w:cs="Times New Roman"/>
          <w:color w:val="auto"/>
        </w:rPr>
      </w:pPr>
    </w:p>
    <w:p w14:paraId="70BA1AF4">
      <w:pPr>
        <w:pStyle w:val="2"/>
        <w:keepNext w:val="0"/>
        <w:keepLines w:val="0"/>
        <w:pageBreakBefore w:val="0"/>
        <w:widowControl w:val="0"/>
        <w:kinsoku/>
        <w:wordWrap/>
        <w:overflowPunct/>
        <w:topLinePunct w:val="0"/>
        <w:autoSpaceDE/>
        <w:autoSpaceDN/>
        <w:bidi w:val="0"/>
        <w:adjustRightInd/>
        <w:snapToGrid/>
        <w:spacing w:line="500" w:lineRule="exact"/>
        <w:ind w:firstLine="0"/>
        <w:textAlignment w:val="auto"/>
        <w:rPr>
          <w:rFonts w:hint="default" w:ascii="Times New Roman" w:hAnsi="Times New Roman" w:eastAsia="方正楷体_GBK" w:cs="Times New Roman"/>
          <w:color w:val="auto"/>
        </w:rPr>
      </w:pPr>
    </w:p>
    <w:p w14:paraId="21FBBE8D"/>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1" w:fontKey="{D711ECE8-F1C0-4658-8B22-FF824637A7AE}"/>
  </w:font>
  <w:font w:name="仿宋_GB2312">
    <w:altName w:val="仿宋"/>
    <w:panose1 w:val="02010609030101010101"/>
    <w:charset w:val="86"/>
    <w:family w:val="modern"/>
    <w:pitch w:val="default"/>
    <w:sig w:usb0="00000000" w:usb1="00000000" w:usb2="00000000" w:usb3="00000000" w:csb0="00040000" w:csb1="00000000"/>
  </w:font>
  <w:font w:name="方正楷体_GBK">
    <w:panose1 w:val="02000000000000000000"/>
    <w:charset w:val="86"/>
    <w:family w:val="script"/>
    <w:pitch w:val="default"/>
    <w:sig w:usb0="800002BF" w:usb1="38CF7CFA" w:usb2="00000016" w:usb3="00000000" w:csb0="00040000" w:csb1="00000000"/>
    <w:embedRegular r:id="rId2" w:fontKey="{66DBCCAE-CCE2-4B90-9808-A7528A7DE1AF}"/>
  </w:font>
  <w:font w:name="方正小标宋_GBK">
    <w:panose1 w:val="02000000000000000000"/>
    <w:charset w:val="86"/>
    <w:family w:val="script"/>
    <w:pitch w:val="default"/>
    <w:sig w:usb0="A00002BF" w:usb1="38CF7CFA" w:usb2="00082016" w:usb3="00000000" w:csb0="00040001" w:csb1="00000000"/>
    <w:embedRegular r:id="rId3" w:fontKey="{C6BA87B6-0C40-4A99-8D31-8AEE4B971237}"/>
  </w:font>
  <w:font w:name="方正黑体_GBK">
    <w:panose1 w:val="02010600010101010101"/>
    <w:charset w:val="86"/>
    <w:family w:val="auto"/>
    <w:pitch w:val="default"/>
    <w:sig w:usb0="00000001" w:usb1="080E0000" w:usb2="00000000" w:usb3="00000000" w:csb0="00040000" w:csb1="00000000"/>
    <w:embedRegular r:id="rId4" w:fontKey="{424E29CE-F48A-465B-A1DC-93696516C2EF}"/>
  </w:font>
  <w:font w:name="方正仿宋_GBK">
    <w:panose1 w:val="02000000000000000000"/>
    <w:charset w:val="86"/>
    <w:family w:val="auto"/>
    <w:pitch w:val="default"/>
    <w:sig w:usb0="A00002BF" w:usb1="38CF7CFA" w:usb2="00082016" w:usb3="00000000" w:csb0="00040001" w:csb1="00000000"/>
    <w:embedRegular r:id="rId5" w:fontKey="{C62C2B40-18D0-4AB0-888C-DFDBC61B5A3C}"/>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6404754"/>
    <w:rsid w:val="2640475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uiPriority w:val="0"/>
    <w:pPr>
      <w:widowControl w:val="0"/>
      <w:jc w:val="both"/>
    </w:pPr>
    <w:rPr>
      <w:rFonts w:ascii="Times New Roman" w:hAnsi="Times New Roman" w:eastAsia="仿宋_GB2312" w:cs="Times New Roman"/>
      <w:kern w:val="2"/>
      <w:sz w:val="32"/>
      <w:szCs w:val="32"/>
      <w:lang w:val="en-US" w:eastAsia="zh-CN" w:bidi="ar-SA"/>
    </w:rPr>
  </w:style>
  <w:style w:type="character" w:default="1" w:styleId="6">
    <w:name w:val="Default Paragraph Font"/>
    <w:semiHidden/>
    <w:uiPriority w:val="0"/>
  </w:style>
  <w:style w:type="table" w:default="1" w:styleId="5">
    <w:name w:val="Normal Table"/>
    <w:semiHidden/>
    <w:uiPriority w:val="0"/>
    <w:tblPr>
      <w:tblCellMar>
        <w:top w:w="0" w:type="dxa"/>
        <w:left w:w="108" w:type="dxa"/>
        <w:bottom w:w="0" w:type="dxa"/>
        <w:right w:w="108" w:type="dxa"/>
      </w:tblCellMar>
    </w:tblPr>
  </w:style>
  <w:style w:type="paragraph" w:styleId="2">
    <w:name w:val="Normal Indent"/>
    <w:basedOn w:val="1"/>
    <w:qFormat/>
    <w:uiPriority w:val="0"/>
    <w:pPr>
      <w:keepNext w:val="0"/>
      <w:keepLines w:val="0"/>
      <w:widowControl w:val="0"/>
      <w:suppressLineNumbers w:val="0"/>
      <w:spacing w:before="0" w:beforeAutospacing="0" w:after="0" w:afterAutospacing="0" w:line="240" w:lineRule="auto"/>
      <w:ind w:left="0" w:firstLine="420"/>
      <w:jc w:val="both"/>
    </w:pPr>
    <w:rPr>
      <w:rFonts w:ascii="Times New Roman" w:hAnsi="Times New Roman" w:eastAsia="宋体" w:cs="Times New Roman"/>
      <w:kern w:val="2"/>
      <w:sz w:val="21"/>
      <w:szCs w:val="20"/>
      <w:lang w:val="en-US" w:eastAsia="zh-CN" w:bidi="ar-SA"/>
    </w:rPr>
  </w:style>
  <w:style w:type="paragraph" w:styleId="3">
    <w:name w:val="footer"/>
    <w:basedOn w:val="1"/>
    <w:qFormat/>
    <w:uiPriority w:val="0"/>
    <w:pPr>
      <w:tabs>
        <w:tab w:val="center" w:pos="4153"/>
        <w:tab w:val="right" w:pos="8306"/>
      </w:tabs>
      <w:snapToGrid w:val="0"/>
      <w:jc w:val="left"/>
    </w:pPr>
    <w:rPr>
      <w:sz w:val="18"/>
      <w:szCs w:val="18"/>
    </w:rPr>
  </w:style>
  <w:style w:type="paragraph" w:styleId="4">
    <w:name w:val="header"/>
    <w:basedOn w:val="1"/>
    <w:qFormat/>
    <w:uiPriority w:val="0"/>
    <w:pPr>
      <w:pBdr>
        <w:bottom w:val="single" w:color="auto" w:sz="6" w:space="1"/>
      </w:pBdr>
      <w:tabs>
        <w:tab w:val="center" w:pos="4153"/>
        <w:tab w:val="right" w:pos="8306"/>
      </w:tabs>
      <w:snapToGrid w:val="0"/>
      <w:jc w:val="center"/>
    </w:pPr>
    <w:rPr>
      <w:sz w:val="18"/>
      <w:szCs w:val="18"/>
    </w:rPr>
  </w:style>
  <w:style w:type="character" w:customStyle="1" w:styleId="7">
    <w:name w:val="font61"/>
    <w:basedOn w:val="6"/>
    <w:qFormat/>
    <w:uiPriority w:val="0"/>
    <w:rPr>
      <w:rFonts w:ascii="宋体" w:eastAsia="宋体" w:cs="宋体"/>
      <w:b/>
      <w:color w:val="000000"/>
      <w:sz w:val="24"/>
      <w:szCs w:val="24"/>
      <w:u w:val="none"/>
      <w:lang w:bidi="ar-SA"/>
    </w:rPr>
  </w:style>
  <w:style w:type="paragraph" w:customStyle="1" w:styleId="8">
    <w:name w:val="Char"/>
    <w:basedOn w:val="1"/>
    <w:qFormat/>
    <w:uiPriority w:val="0"/>
    <w:rPr>
      <w:rFonts w:eastAsia="宋体"/>
      <w:sz w:val="21"/>
      <w:szCs w:val="20"/>
    </w:rPr>
  </w:style>
  <w:style w:type="character" w:customStyle="1" w:styleId="9">
    <w:name w:val="font41"/>
    <w:basedOn w:val="6"/>
    <w:qFormat/>
    <w:uiPriority w:val="0"/>
    <w:rPr>
      <w:rFonts w:ascii="Times New Roman" w:hAnsi="Times New Roman" w:cs="Times New Roman"/>
      <w:color w:val="000000"/>
      <w:sz w:val="22"/>
      <w:szCs w:val="22"/>
      <w:u w:val="none"/>
      <w:lang w:bidi="ar-SA"/>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0</Words>
  <Characters>0</Characters>
  <Lines>0</Lines>
  <Paragraphs>0</Paragraphs>
  <TotalTime>0</TotalTime>
  <ScaleCrop>false</ScaleCrop>
  <LinksUpToDate>false</LinksUpToDate>
  <CharactersWithSpaces>0</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2026-04-28T00:53:00Z</dcterms:created>
  <dc:creator>wzy</dc:creator>
  <cp:lastModifiedBy>wzy</cp:lastModifiedBy>
  <dcterms:modified xsi:type="dcterms:W3CDTF">2026-04-28T00:53:29Z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5564C5FF6F174D45A928B49A2755AEB6_11</vt:lpwstr>
  </property>
  <property fmtid="{D5CDD505-2E9C-101B-9397-08002B2CF9AE}" pid="4" name="KSOTemplateDocerSaveRecord">
    <vt:lpwstr>eyJoZGlkIjoiYjFiNDNjMzI1MDJhYTU5NDI3ODdiZDJlMDdjMmQ1YWUiLCJ1c2VySWQiOiIzMTIzMDg0NzgifQ==</vt:lpwstr>
  </property>
</Properties>
</file>