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val="0"/>
        <w:suppressLineNumbers w:val="0"/>
        <w:kinsoku/>
        <w:wordWrap/>
        <w:overflowPunct/>
        <w:topLinePunct w:val="0"/>
        <w:autoSpaceDE/>
        <w:autoSpaceDN/>
        <w:bidi w:val="0"/>
        <w:adjustRightInd/>
        <w:snapToGrid/>
        <w:ind w:left="0" w:firstLine="0" w:firstLineChars="0"/>
        <w:jc w:val="both"/>
        <w:textAlignment w:val="auto"/>
        <w:rPr>
          <w:rFonts w:hint="default" w:ascii="Times New Roman" w:hAnsi="Times New Roman" w:eastAsia="方正黑体_GBK" w:cs="Times New Roman"/>
          <w:color w:val="000000"/>
          <w:spacing w:val="-6"/>
          <w:kern w:val="0"/>
          <w:sz w:val="32"/>
          <w:szCs w:val="32"/>
          <w:lang w:val="en-US" w:eastAsia="zh-CN" w:bidi="ar-SA"/>
        </w:rPr>
      </w:pPr>
      <w:r>
        <w:rPr>
          <w:rFonts w:hint="default" w:ascii="Times New Roman" w:hAnsi="Times New Roman" w:eastAsia="方正黑体_GBK" w:cs="Times New Roman"/>
          <w:color w:val="000000"/>
          <w:spacing w:val="-6"/>
          <w:kern w:val="0"/>
          <w:sz w:val="32"/>
          <w:szCs w:val="32"/>
          <w:lang w:val="en-US" w:eastAsia="zh-CN" w:bidi="ar-SA"/>
        </w:rPr>
        <w:t>附件2</w:t>
      </w:r>
      <w:bookmarkStart w:id="0" w:name="_GoBack"/>
      <w:bookmarkEnd w:id="0"/>
    </w:p>
    <w:p>
      <w:pPr>
        <w:pStyle w:val="6"/>
        <w:ind w:left="0" w:leftChars="0" w:firstLine="0" w:firstLineChars="0"/>
        <w:jc w:val="center"/>
        <w:rPr>
          <w:rFonts w:hint="default" w:ascii="Times New Roman" w:hAnsi="Times New Roman" w:eastAsia="方正小标宋简体" w:cs="Times New Roman"/>
          <w:sz w:val="36"/>
          <w:szCs w:val="36"/>
          <w:lang w:bidi="ar-SA"/>
        </w:rPr>
      </w:pPr>
    </w:p>
    <w:p>
      <w:pPr>
        <w:pStyle w:val="6"/>
        <w:ind w:left="0" w:leftChars="0" w:firstLine="0" w:firstLineChars="0"/>
        <w:jc w:val="center"/>
        <w:rPr>
          <w:rFonts w:hint="default" w:ascii="Times New Roman" w:hAnsi="Times New Roman" w:eastAsia="方正小标宋简体" w:cs="Times New Roman"/>
          <w:sz w:val="36"/>
          <w:szCs w:val="36"/>
          <w:lang w:bidi="ar-SA"/>
        </w:rPr>
      </w:pPr>
    </w:p>
    <w:p>
      <w:pPr>
        <w:pStyle w:val="6"/>
        <w:ind w:left="0" w:leftChars="0" w:firstLine="0" w:firstLineChars="0"/>
        <w:jc w:val="center"/>
        <w:rPr>
          <w:rFonts w:hint="default" w:ascii="Times New Roman" w:hAnsi="Times New Roman" w:eastAsia="方正小标宋简体" w:cs="Times New Roman"/>
          <w:sz w:val="36"/>
          <w:szCs w:val="36"/>
          <w:lang w:bidi="ar-SA"/>
        </w:rPr>
      </w:pPr>
    </w:p>
    <w:p>
      <w:pPr>
        <w:pStyle w:val="6"/>
        <w:ind w:left="0" w:leftChars="0" w:firstLine="0" w:firstLineChars="0"/>
        <w:jc w:val="center"/>
        <w:rPr>
          <w:rFonts w:hint="default" w:ascii="Times New Roman" w:hAnsi="Times New Roman" w:eastAsia="方正小标宋_GBK" w:cs="Times New Roman"/>
          <w:spacing w:val="-6"/>
          <w:sz w:val="44"/>
          <w:szCs w:val="44"/>
          <w:lang w:bidi="ar-SA"/>
        </w:rPr>
      </w:pPr>
      <w:r>
        <w:rPr>
          <w:rFonts w:hint="default" w:ascii="Times New Roman" w:hAnsi="Times New Roman" w:eastAsia="方正小标宋_GBK" w:cs="Times New Roman"/>
          <w:spacing w:val="-6"/>
          <w:sz w:val="44"/>
          <w:szCs w:val="44"/>
          <w:lang w:bidi="ar-SA"/>
        </w:rPr>
        <w:t>2023年全国现代设施农业创新引领区</w:t>
      </w:r>
      <w:r>
        <w:rPr>
          <w:rFonts w:hint="default" w:ascii="Times New Roman" w:hAnsi="Times New Roman" w:eastAsia="方正小标宋_GBK" w:cs="Times New Roman"/>
          <w:color w:val="auto"/>
          <w:spacing w:val="-6"/>
          <w:kern w:val="2"/>
          <w:sz w:val="44"/>
          <w:szCs w:val="44"/>
          <w:lang w:val="en-US" w:eastAsia="zh-CN" w:bidi="ar-SA"/>
        </w:rPr>
        <w:t>暨省级现代设施农业创新引领县（市、区）</w:t>
      </w:r>
      <w:r>
        <w:rPr>
          <w:rFonts w:hint="default" w:ascii="Times New Roman" w:hAnsi="Times New Roman" w:eastAsia="方正小标宋_GBK" w:cs="Times New Roman"/>
          <w:spacing w:val="-6"/>
          <w:sz w:val="44"/>
          <w:szCs w:val="44"/>
          <w:lang w:bidi="ar-SA"/>
        </w:rPr>
        <w:t>申报书</w:t>
      </w:r>
    </w:p>
    <w:p>
      <w:pPr>
        <w:pStyle w:val="6"/>
        <w:ind w:left="0" w:leftChars="0" w:firstLine="0" w:firstLineChars="0"/>
        <w:jc w:val="center"/>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（样式）</w:t>
      </w: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u w:val="single"/>
          <w:lang w:bidi="ar-SA"/>
        </w:rPr>
      </w:pPr>
      <w:r>
        <w:rPr>
          <w:rFonts w:hint="default" w:ascii="Times New Roman" w:hAnsi="Times New Roman" w:eastAsia="方正楷体_GBK" w:cs="Times New Roman"/>
          <w:sz w:val="32"/>
          <w:szCs w:val="32"/>
          <w:lang w:bidi="ar-SA"/>
        </w:rPr>
        <w:t xml:space="preserve">          </w:t>
      </w:r>
    </w:p>
    <w:p>
      <w:pPr>
        <w:pStyle w:val="6"/>
        <w:ind w:left="0" w:leftChars="0" w:firstLine="0" w:firstLineChars="0"/>
        <w:jc w:val="both"/>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 xml:space="preserve">          </w:t>
      </w:r>
    </w:p>
    <w:p>
      <w:pPr>
        <w:pStyle w:val="6"/>
        <w:ind w:left="0" w:leftChars="0" w:firstLine="0" w:firstLineChars="0"/>
        <w:jc w:val="both"/>
        <w:rPr>
          <w:rFonts w:hint="default" w:ascii="Times New Roman" w:hAnsi="Times New Roman" w:eastAsia="方正楷体_GBK" w:cs="Times New Roman"/>
          <w:sz w:val="32"/>
          <w:szCs w:val="32"/>
          <w:u w:val="single"/>
          <w:lang w:bidi="ar-SA"/>
        </w:rPr>
      </w:pPr>
      <w:r>
        <w:rPr>
          <w:rFonts w:hint="default" w:ascii="Times New Roman" w:hAnsi="Times New Roman" w:eastAsia="方正楷体_GBK" w:cs="Times New Roman"/>
          <w:sz w:val="32"/>
          <w:szCs w:val="32"/>
          <w:lang w:bidi="ar-SA"/>
        </w:rPr>
        <w:t xml:space="preserve">          申报单位：</w:t>
      </w:r>
      <w:r>
        <w:rPr>
          <w:rFonts w:hint="default" w:ascii="Times New Roman" w:hAnsi="Times New Roman" w:eastAsia="方正楷体_GBK" w:cs="Times New Roman"/>
          <w:sz w:val="32"/>
          <w:szCs w:val="32"/>
          <w:u w:val="single"/>
          <w:lang w:bidi="ar-SA"/>
        </w:rPr>
        <w:t xml:space="preserve">                     </w:t>
      </w: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sectPr>
          <w:footerReference r:id="rId5" w:type="default"/>
          <w:pgSz w:w="11906" w:h="16838"/>
          <w:pgMar w:top="2098" w:right="1587" w:bottom="2098" w:left="1587" w:header="851" w:footer="680" w:gutter="0"/>
          <w:cols w:space="720" w:num="1"/>
          <w:docGrid w:type="lines" w:linePitch="312" w:charSpace="0"/>
        </w:sectPr>
      </w:pPr>
      <w:r>
        <w:rPr>
          <w:rFonts w:hint="default" w:ascii="Times New Roman" w:hAnsi="Times New Roman" w:eastAsia="方正楷体_GBK" w:cs="Times New Roman"/>
          <w:sz w:val="32"/>
          <w:szCs w:val="32"/>
          <w:lang w:bidi="ar-SA"/>
        </w:rPr>
        <w:t xml:space="preserve">                      年   月   日</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6"/>
        <w:gridCol w:w="2400"/>
        <w:gridCol w:w="1430"/>
        <w:gridCol w:w="32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申报单位</w:t>
            </w:r>
          </w:p>
        </w:tc>
        <w:tc>
          <w:tcPr>
            <w:tcW w:w="7047"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联系人</w:t>
            </w:r>
          </w:p>
        </w:tc>
        <w:tc>
          <w:tcPr>
            <w:tcW w:w="240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c>
          <w:tcPr>
            <w:tcW w:w="143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职务</w:t>
            </w:r>
          </w:p>
        </w:tc>
        <w:tc>
          <w:tcPr>
            <w:tcW w:w="3217"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联系电话</w:t>
            </w:r>
          </w:p>
        </w:tc>
        <w:tc>
          <w:tcPr>
            <w:tcW w:w="240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c>
          <w:tcPr>
            <w:tcW w:w="143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电子邮箱</w:t>
            </w:r>
          </w:p>
        </w:tc>
        <w:tc>
          <w:tcPr>
            <w:tcW w:w="3217"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通讯地址</w:t>
            </w:r>
          </w:p>
        </w:tc>
        <w:tc>
          <w:tcPr>
            <w:tcW w:w="7047"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0" w:hRule="atLeast"/>
        </w:trPr>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现代设施农业发展基础</w:t>
            </w:r>
          </w:p>
        </w:tc>
        <w:tc>
          <w:tcPr>
            <w:tcW w:w="7047"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（申报单位现代设施农业发展基础，包括占地面积、主要产品、年生产量、产值规模、从业人数、所获荣誉以及产业发展其他方面情况，600字左右）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5" w:hRule="atLeast"/>
        </w:trPr>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申报创新引领区的主要优势。</w:t>
            </w:r>
            <w:r>
              <w:rPr>
                <w:rFonts w:hint="default" w:ascii="Times New Roman" w:hAnsi="Times New Roman" w:eastAsia="方正楷体_GBK" w:cs="Times New Roman"/>
                <w:sz w:val="28"/>
                <w:szCs w:val="28"/>
                <w:vertAlign w:val="baseline"/>
                <w:lang w:val="en-US" w:eastAsia="zh-CN" w:bidi="ar-SA"/>
              </w:rPr>
              <w:t>须填写</w:t>
            </w:r>
            <w:r>
              <w:rPr>
                <w:rFonts w:hint="default" w:ascii="Times New Roman" w:hAnsi="Times New Roman" w:eastAsia="方正楷体_GBK" w:cs="Times New Roman"/>
                <w:sz w:val="28"/>
                <w:szCs w:val="28"/>
                <w:vertAlign w:val="baseline"/>
                <w:lang w:bidi="ar-SA"/>
              </w:rPr>
              <w:t>遴选指标申报表（附后）</w:t>
            </w:r>
          </w:p>
        </w:tc>
        <w:tc>
          <w:tcPr>
            <w:tcW w:w="7047"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（申报单位在利用非传统耕地、机械化智能化科技装备水平、优质适用品种选育推广、绿色发展、联农带农等方面优势做法，1000字左右）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5" w:hRule="atLeast"/>
        </w:trPr>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发挥创新引领区作用的主要目标和工作计划</w:t>
            </w:r>
          </w:p>
        </w:tc>
        <w:tc>
          <w:tcPr>
            <w:tcW w:w="7047"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（发挥创新引领区引领带动作用的基本思路、总体规划、主要任务目标、专项工程与具体项目、分阶段计划安排和进度等，600字左右）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2" w:hRule="atLeast"/>
        </w:trPr>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有关落实保障措施</w:t>
            </w:r>
          </w:p>
        </w:tc>
        <w:tc>
          <w:tcPr>
            <w:tcW w:w="7047"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（发挥创新引领区引领带动作用的组织领导、工作机制、政策支持、人才支撑、宣传引导等，600字左右）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2" w:hRule="atLeast"/>
        </w:trPr>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真实性承诺</w:t>
            </w:r>
          </w:p>
        </w:tc>
        <w:tc>
          <w:tcPr>
            <w:tcW w:w="7047"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我单位提供的所有材料，均真实、完整，如有不实，愿意承担相应责任。</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w:t>
            </w:r>
            <w:r>
              <w:rPr>
                <w:rFonts w:hint="default" w:ascii="Times New Roman" w:hAnsi="Times New Roman" w:eastAsia="方正仿宋_GBK" w:cs="Times New Roman"/>
                <w:sz w:val="28"/>
                <w:szCs w:val="28"/>
                <w:vertAlign w:val="baseline"/>
                <w:lang w:val="en-US" w:eastAsia="zh-CN" w:bidi="ar-SA"/>
              </w:rPr>
              <w:t xml:space="preserve">   </w:t>
            </w:r>
            <w:r>
              <w:rPr>
                <w:rFonts w:hint="default" w:ascii="Times New Roman" w:hAnsi="Times New Roman" w:eastAsia="方正仿宋_GBK" w:cs="Times New Roman"/>
                <w:sz w:val="28"/>
                <w:szCs w:val="28"/>
                <w:vertAlign w:val="baseline"/>
                <w:lang w:bidi="ar-SA"/>
              </w:rPr>
              <w:t>申报单位负责人（公章）：</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w:t>
            </w:r>
            <w:r>
              <w:rPr>
                <w:rFonts w:hint="default" w:ascii="Times New Roman" w:hAnsi="Times New Roman" w:eastAsia="方正仿宋_GBK" w:cs="Times New Roman"/>
                <w:sz w:val="28"/>
                <w:szCs w:val="28"/>
                <w:vertAlign w:val="baseline"/>
                <w:lang w:val="en-US" w:eastAsia="zh-CN" w:bidi="ar-SA"/>
              </w:rPr>
              <w:t xml:space="preserve">   </w:t>
            </w:r>
            <w:r>
              <w:rPr>
                <w:rFonts w:hint="default" w:ascii="Times New Roman" w:hAnsi="Times New Roman" w:eastAsia="方正仿宋_GBK" w:cs="Times New Roman"/>
                <w:sz w:val="28"/>
                <w:szCs w:val="28"/>
                <w:vertAlign w:val="baseline"/>
                <w:lang w:bidi="ar-SA"/>
              </w:rPr>
              <w:t xml:space="preserve">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2" w:hRule="atLeast"/>
        </w:trPr>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val="en-US" w:eastAsia="zh-CN" w:bidi="ar-SA"/>
              </w:rPr>
              <w:t>市</w:t>
            </w:r>
            <w:r>
              <w:rPr>
                <w:rFonts w:hint="default" w:ascii="Times New Roman" w:hAnsi="Times New Roman" w:eastAsia="方正楷体_GBK" w:cs="Times New Roman"/>
                <w:sz w:val="28"/>
                <w:szCs w:val="28"/>
                <w:vertAlign w:val="baseline"/>
                <w:lang w:bidi="ar-SA"/>
              </w:rPr>
              <w:t>级农业农村部门意见</w:t>
            </w:r>
          </w:p>
        </w:tc>
        <w:tc>
          <w:tcPr>
            <w:tcW w:w="7047"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经审核，我单位同意推荐申报全国现代设施农业创新引领区。对该单位提供的所有材料真实性、完整性确认无误，如有不实，愿意承担相应责任。</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w:t>
            </w:r>
            <w:r>
              <w:rPr>
                <w:rFonts w:hint="default" w:ascii="Times New Roman" w:hAnsi="Times New Roman" w:eastAsia="方正仿宋_GBK" w:cs="Times New Roman"/>
                <w:sz w:val="28"/>
                <w:szCs w:val="28"/>
                <w:vertAlign w:val="baseline"/>
                <w:lang w:val="en-US" w:eastAsia="zh-CN" w:bidi="ar-SA"/>
              </w:rPr>
              <w:t>市</w:t>
            </w:r>
            <w:r>
              <w:rPr>
                <w:rFonts w:hint="default" w:ascii="Times New Roman" w:hAnsi="Times New Roman" w:eastAsia="方正仿宋_GBK" w:cs="Times New Roman"/>
                <w:sz w:val="28"/>
                <w:szCs w:val="28"/>
                <w:vertAlign w:val="baseline"/>
                <w:lang w:bidi="ar-SA"/>
              </w:rPr>
              <w:t>级农业农村部门（公章）</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2" w:hRule="atLeast"/>
        </w:trPr>
        <w:tc>
          <w:tcPr>
            <w:tcW w:w="1666"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省级农业农村部门意见</w:t>
            </w:r>
          </w:p>
        </w:tc>
        <w:tc>
          <w:tcPr>
            <w:tcW w:w="7047"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经审核，我单位同意推荐申报全国现代设施农业创新引领区。对该单位提供的所有材料真实性、完整性确认无误，如有不实，愿意承担相应责任。</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省级农业农村部门（公章）</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年   月   日</w:t>
            </w:r>
          </w:p>
        </w:tc>
      </w:tr>
    </w:tbl>
    <w:p>
      <w:pPr>
        <w:widowControl/>
        <w:tabs>
          <w:tab w:val="left" w:pos="5818"/>
        </w:tabs>
        <w:jc w:val="center"/>
        <w:outlineLvl w:val="2"/>
        <w:rPr>
          <w:rFonts w:ascii="Times New Roman" w:hAnsi="Times New Roman" w:eastAsia="黑体" w:cs="Times New Roman"/>
          <w:sz w:val="28"/>
          <w:szCs w:val="32"/>
          <w:lang w:bidi="ar-SA"/>
        </w:rPr>
        <w:sectPr>
          <w:pgSz w:w="11906" w:h="16838"/>
          <w:pgMar w:top="2098" w:right="1587" w:bottom="2098" w:left="1587" w:header="851" w:footer="680" w:gutter="0"/>
          <w:cols w:space="720" w:num="1"/>
          <w:docGrid w:type="lines" w:linePitch="312" w:charSpace="0"/>
        </w:sectPr>
      </w:pPr>
    </w:p>
    <w:p>
      <w:pPr>
        <w:widowControl/>
        <w:tabs>
          <w:tab w:val="left" w:pos="5818"/>
        </w:tabs>
        <w:jc w:val="center"/>
        <w:outlineLvl w:val="2"/>
        <w:rPr>
          <w:rFonts w:hint="default" w:ascii="Times New Roman" w:hAnsi="Times New Roman" w:eastAsia="方正小标宋_GBK" w:cs="Times New Roman"/>
          <w:sz w:val="32"/>
          <w:szCs w:val="32"/>
          <w:lang w:bidi="ar-SA"/>
        </w:rPr>
      </w:pPr>
      <w:r>
        <w:rPr>
          <w:rFonts w:hint="default" w:ascii="Times New Roman" w:hAnsi="Times New Roman" w:eastAsia="方正小标宋_GBK" w:cs="Times New Roman"/>
          <w:sz w:val="32"/>
          <w:szCs w:val="32"/>
          <w:lang w:val="en-US" w:eastAsia="zh-CN" w:bidi="ar-SA"/>
        </w:rPr>
        <w:t>表1：</w:t>
      </w:r>
      <w:r>
        <w:rPr>
          <w:rFonts w:hint="default" w:ascii="Times New Roman" w:hAnsi="Times New Roman" w:eastAsia="方正小标宋_GBK" w:cs="Times New Roman"/>
          <w:sz w:val="32"/>
          <w:szCs w:val="32"/>
          <w:lang w:bidi="ar-SA"/>
        </w:rPr>
        <w:t>现代设施农业创新引领区遴选指标表</w:t>
      </w:r>
    </w:p>
    <w:tbl>
      <w:tblPr>
        <w:tblStyle w:val="7"/>
        <w:tblW w:w="14620" w:type="dxa"/>
        <w:jc w:val="center"/>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16"/>
        <w:gridCol w:w="3096"/>
        <w:gridCol w:w="1314"/>
        <w:gridCol w:w="855"/>
        <w:gridCol w:w="2638"/>
        <w:gridCol w:w="5501"/>
      </w:tblGrid>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4" w:hRule="atLeast"/>
          <w:tblHeader/>
          <w:jc w:val="center"/>
        </w:trPr>
        <w:tc>
          <w:tcPr>
            <w:tcW w:w="1216"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一级指标</w:t>
            </w: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二级指标</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单位</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w:t>
            </w: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数值说明</w:t>
            </w: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指标解释</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6" w:hRule="exact"/>
          <w:jc w:val="center"/>
        </w:trPr>
        <w:tc>
          <w:tcPr>
            <w:tcW w:w="1216"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center"/>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基本</w:t>
            </w:r>
          </w:p>
          <w:p>
            <w:pPr>
              <w:pStyle w:val="9"/>
              <w:keepNext w:val="0"/>
              <w:keepLines w:val="0"/>
              <w:pageBreakBefore w:val="0"/>
              <w:widowControl w:val="0"/>
              <w:shd w:val="clear" w:color="auto" w:fill="auto"/>
              <w:kinsoku/>
              <w:wordWrap w:val="0"/>
              <w:overflowPunct/>
              <w:topLinePunct/>
              <w:autoSpaceDE/>
              <w:autoSpaceDN/>
              <w:bidi w:val="0"/>
              <w:spacing w:line="280" w:lineRule="exact"/>
              <w:jc w:val="center"/>
              <w:textAlignment w:val="auto"/>
              <w:rPr>
                <w:rFonts w:hint="default" w:ascii="Times New Roman" w:hAnsi="Times New Roman" w:eastAsia="方正黑体_GBK" w:cs="Times New Roman"/>
                <w:highlight w:val="none"/>
                <w:lang w:bidi="ar-SA"/>
              </w:rPr>
            </w:pPr>
            <w:r>
              <w:rPr>
                <w:rFonts w:hint="default" w:ascii="Times New Roman" w:hAnsi="Times New Roman" w:eastAsia="方正黑体_GBK" w:cs="Times New Roman"/>
                <w:sz w:val="24"/>
                <w:szCs w:val="24"/>
                <w:highlight w:val="none"/>
                <w:lang w:bidi="ar-SA"/>
              </w:rPr>
              <w:t>情况</w:t>
            </w: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设施农业生产总值</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亿元</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指上一年度包括设施种植业、设施养殖业、设施渔业、冷链物流和粮食烘干设施等产业的产值之和。</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47"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农民人均可支配收入</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元</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指上一年度农村居民获得的、可用于最终消费支出和储蓄的总和，包括工资性收入、经营净收入、财产净收入、转移净收入。</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94" w:hRule="exact"/>
          <w:jc w:val="center"/>
        </w:trPr>
        <w:tc>
          <w:tcPr>
            <w:tcW w:w="1216"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center"/>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技术</w:t>
            </w:r>
          </w:p>
          <w:p>
            <w:pPr>
              <w:pStyle w:val="9"/>
              <w:keepNext w:val="0"/>
              <w:keepLines w:val="0"/>
              <w:pageBreakBefore w:val="0"/>
              <w:widowControl w:val="0"/>
              <w:shd w:val="clear" w:color="auto" w:fill="auto"/>
              <w:kinsoku/>
              <w:wordWrap w:val="0"/>
              <w:overflowPunct/>
              <w:topLinePunct/>
              <w:autoSpaceDE/>
              <w:autoSpaceDN/>
              <w:bidi w:val="0"/>
              <w:spacing w:line="280" w:lineRule="exact"/>
              <w:jc w:val="center"/>
              <w:textAlignment w:val="auto"/>
              <w:rPr>
                <w:rFonts w:hint="default" w:ascii="Times New Roman" w:hAnsi="Times New Roman" w:eastAsia="方正黑体_GBK" w:cs="Times New Roman"/>
                <w:highlight w:val="none"/>
                <w:lang w:bidi="ar-SA"/>
              </w:rPr>
            </w:pPr>
            <w:r>
              <w:rPr>
                <w:rFonts w:hint="default" w:ascii="Times New Roman" w:hAnsi="Times New Roman" w:eastAsia="方正黑体_GBK" w:cs="Times New Roman"/>
                <w:sz w:val="24"/>
                <w:szCs w:val="24"/>
                <w:highlight w:val="none"/>
                <w:lang w:bidi="ar-SA"/>
              </w:rPr>
              <w:t>装备</w:t>
            </w: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省级以上设施农业技术创新与服务平台</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省级/国家级的个数</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指创新引领区内与设施农业发展相关的省部级实验室、科研院校、工程技术中心、数字农业基地、成果共享与交流等技术创新与服务平台。</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2"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设施种植业或设施畜牧或设施渔业机械化率</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指设施种植业机械化率、设施畜牧养殖机械化率、设施渔业养殖机械化率（三选一）。</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8"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设施农业数字化应用示范水平</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定性</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指设施农业数字化技术应用示范情况，现代设施自动化、智能化水平。</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5" w:hRule="atLeas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设施农业高效节水面积占比</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指采用高效节水技术的设施种植面积占设施种植总面积的占比。</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6" w:hRule="exact"/>
          <w:jc w:val="center"/>
        </w:trPr>
        <w:tc>
          <w:tcPr>
            <w:tcW w:w="1216"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绿色</w:t>
            </w:r>
          </w:p>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发展</w:t>
            </w: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利用戈壁滩、盐碱荒地、坑塘、山地等非传统耕地面积</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亩</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jc w:val="center"/>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指创新引领区利用戈壁滩、盐碱荒地、坑塘、山地等非传统耕地发展设施农业的面积。</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7"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绿色、有机、地理标志农产品认证个数</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个</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jc w:val="center"/>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指获得认证设施农业相关的绿色食品、有机食品和地理标志农产品的数量。</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6" w:hRule="exact"/>
          <w:jc w:val="center"/>
        </w:trPr>
        <w:tc>
          <w:tcPr>
            <w:tcW w:w="1216"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绿色</w:t>
            </w:r>
          </w:p>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发展</w:t>
            </w: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畜禽粪污等农业废弃物综合利用率</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jc w:val="center"/>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指利用畜禽粪污等农业废弃物生产沼气、商品有机肥等并符合有关标准或要求的农业废弃物量，占总农业废弃物量的比例。</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1"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设施农产品质量安全抽检合格率</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指创新引领区内质量安全合格的农产品占全部农产品的比重。</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41" w:hRule="exact"/>
          <w:jc w:val="center"/>
        </w:trPr>
        <w:tc>
          <w:tcPr>
            <w:tcW w:w="1216"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示范</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带动</w:t>
            </w: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省级以上设施农业产业化龙头企业</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省级/国家级的个数</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指截止到上一年度，创新引领区内以设施农业为主营业务并经省级及以上农业农村部门认定的企业数量。</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51"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left"/>
              <w:textAlignment w:val="auto"/>
              <w:rPr>
                <w:rFonts w:hint="default" w:ascii="Times New Roman" w:hAnsi="Times New Roman" w:eastAsia="方正仿宋_GBK" w:cs="Times New Roman"/>
                <w:sz w:val="24"/>
                <w:szCs w:val="24"/>
                <w:highlight w:val="none"/>
                <w:lang w:bidi="ar-SA"/>
              </w:rPr>
            </w:pPr>
            <w:r>
              <w:rPr>
                <w:rFonts w:hint="default" w:ascii="Times New Roman" w:hAnsi="Times New Roman" w:eastAsia="方正仿宋_GBK" w:cs="Times New Roman"/>
                <w:sz w:val="24"/>
                <w:szCs w:val="24"/>
                <w:highlight w:val="none"/>
                <w:lang w:bidi="ar-SA"/>
              </w:rPr>
              <w:t>就业人数</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sz w:val="24"/>
                <w:szCs w:val="24"/>
                <w:highlight w:val="none"/>
                <w:lang w:bidi="ar-SA"/>
              </w:rPr>
            </w:pPr>
            <w:r>
              <w:rPr>
                <w:rFonts w:hint="default" w:ascii="Times New Roman" w:hAnsi="Times New Roman" w:eastAsia="方正仿宋_GBK" w:cs="Times New Roman"/>
                <w:sz w:val="24"/>
                <w:szCs w:val="24"/>
                <w:highlight w:val="none"/>
                <w:lang w:bidi="ar-SA"/>
              </w:rPr>
              <w:t>万人</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指通过用工、订单农业、产业化联合体等多种形式，带动的设施农业就业人数。</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0" w:hRule="exact"/>
          <w:jc w:val="center"/>
        </w:trPr>
        <w:tc>
          <w:tcPr>
            <w:tcW w:w="1216"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支持</w:t>
            </w:r>
          </w:p>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保障</w:t>
            </w:r>
          </w:p>
        </w:tc>
        <w:tc>
          <w:tcPr>
            <w:tcW w:w="3096"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设施农业</w:t>
            </w:r>
            <w:r>
              <w:rPr>
                <w:rFonts w:hint="default" w:ascii="Times New Roman" w:hAnsi="Times New Roman" w:eastAsia="方正仿宋_GBK" w:cs="Times New Roman"/>
                <w:bCs/>
                <w:color w:val="000000"/>
                <w:sz w:val="24"/>
                <w:szCs w:val="24"/>
                <w:highlight w:val="none"/>
                <w:lang w:bidi="ar-SA"/>
              </w:rPr>
              <w:t>扶持政策</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定性</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2020年之后出台的用地、用电、用水、数字化发展等设施农业专门扶持政策。</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8"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left"/>
              <w:textAlignment w:val="auto"/>
              <w:rPr>
                <w:rFonts w:hint="default" w:ascii="Times New Roman" w:hAnsi="Times New Roman" w:eastAsia="方正仿宋_GBK" w:cs="Times New Roman"/>
                <w:sz w:val="24"/>
                <w:szCs w:val="24"/>
                <w:highlight w:val="none"/>
                <w:lang w:bidi="ar-SA"/>
              </w:rPr>
            </w:pPr>
            <w:r>
              <w:rPr>
                <w:rFonts w:hint="default" w:ascii="Times New Roman" w:hAnsi="Times New Roman" w:eastAsia="方正仿宋_GBK" w:cs="Times New Roman"/>
                <w:bCs/>
                <w:color w:val="000000"/>
                <w:sz w:val="24"/>
                <w:szCs w:val="24"/>
                <w:highlight w:val="none"/>
                <w:lang w:bidi="ar-SA"/>
              </w:rPr>
              <w:t>发展思路与措施</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sz w:val="24"/>
                <w:szCs w:val="24"/>
                <w:highlight w:val="none"/>
                <w:lang w:bidi="ar-SA"/>
              </w:rPr>
            </w:pPr>
            <w:r>
              <w:rPr>
                <w:rFonts w:hint="default" w:ascii="Times New Roman" w:hAnsi="Times New Roman" w:eastAsia="方正仿宋_GBK" w:cs="Times New Roman"/>
                <w:sz w:val="24"/>
                <w:szCs w:val="24"/>
                <w:highlight w:val="none"/>
                <w:lang w:bidi="ar-SA"/>
              </w:rPr>
              <w:t>定性</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出台发展规划或实施方案，明确创新引领区的重点任务、实施路径和具体任务等。</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8"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财政专项支持资金</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万元</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安排本级财政专项资金支持情况。</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8"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6"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tabs>
                <w:tab w:val="right" w:pos="3322"/>
              </w:tabs>
              <w:kinsoku/>
              <w:wordWrap w:val="0"/>
              <w:overflowPunct/>
              <w:topLinePunct/>
              <w:autoSpaceDE/>
              <w:autoSpaceDN/>
              <w:bidi w:val="0"/>
              <w:spacing w:line="280" w:lineRule="exact"/>
              <w:jc w:val="left"/>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社会资本投入（亿元）</w:t>
            </w:r>
          </w:p>
        </w:tc>
        <w:tc>
          <w:tcPr>
            <w:tcW w:w="1314" w:type="dxa"/>
            <w:tcBorders>
              <w:top w:val="single" w:color="000000" w:sz="4" w:space="0"/>
              <w:left w:val="single" w:color="000000" w:sz="4" w:space="0"/>
              <w:bottom w:val="single" w:color="auto" w:sz="4" w:space="0"/>
              <w:right w:val="single" w:color="000000" w:sz="4" w:space="0"/>
            </w:tcBorders>
            <w:noWrap/>
            <w:vAlign w:val="center"/>
          </w:tcPr>
          <w:p>
            <w:pPr>
              <w:pStyle w:val="5"/>
              <w:keepNext w:val="0"/>
              <w:keepLines w:val="0"/>
              <w:pageBreakBefore w:val="0"/>
              <w:widowControl/>
              <w:shd w:val="clear" w:color="auto" w:fill="auto"/>
              <w:kinsoku/>
              <w:overflowPunct/>
              <w:autoSpaceDE/>
              <w:autoSpaceDN/>
              <w:bidi w:val="0"/>
              <w:spacing w:before="0" w:beforeAutospacing="0" w:after="0" w:afterAutospacing="0" w:line="280" w:lineRule="exact"/>
              <w:ind w:left="0" w:firstLine="0" w:firstLineChars="0"/>
              <w:jc w:val="center"/>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亿元</w:t>
            </w:r>
          </w:p>
        </w:tc>
        <w:tc>
          <w:tcPr>
            <w:tcW w:w="855"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textAlignment w:val="auto"/>
              <w:rPr>
                <w:rFonts w:hint="default" w:ascii="Times New Roman" w:hAnsi="Times New Roman" w:eastAsia="方正仿宋_GBK" w:cs="Times New Roman"/>
                <w:color w:val="000000"/>
                <w:sz w:val="24"/>
                <w:szCs w:val="24"/>
                <w:highlight w:val="none"/>
                <w:lang w:bidi="ar-SA"/>
              </w:rPr>
            </w:pPr>
          </w:p>
        </w:tc>
        <w:tc>
          <w:tcPr>
            <w:tcW w:w="2638"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p>
        </w:tc>
        <w:tc>
          <w:tcPr>
            <w:tcW w:w="5501" w:type="dxa"/>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val="0"/>
              <w:overflowPunct/>
              <w:topLinePunct/>
              <w:autoSpaceDE/>
              <w:autoSpaceDN/>
              <w:bidi w:val="0"/>
              <w:spacing w:line="280" w:lineRule="exact"/>
              <w:jc w:val="both"/>
              <w:textAlignment w:val="auto"/>
              <w:rPr>
                <w:rFonts w:hint="default" w:ascii="Times New Roman" w:hAnsi="Times New Roman" w:eastAsia="方正仿宋_GBK" w:cs="Times New Roman"/>
                <w:color w:val="000000"/>
                <w:sz w:val="24"/>
                <w:szCs w:val="24"/>
                <w:highlight w:val="none"/>
                <w:lang w:bidi="ar-SA"/>
              </w:rPr>
            </w:pPr>
            <w:r>
              <w:rPr>
                <w:rFonts w:hint="default" w:ascii="Times New Roman" w:hAnsi="Times New Roman" w:eastAsia="方正仿宋_GBK" w:cs="Times New Roman"/>
                <w:color w:val="000000"/>
                <w:sz w:val="24"/>
                <w:szCs w:val="24"/>
                <w:highlight w:val="none"/>
                <w:lang w:bidi="ar-SA"/>
              </w:rPr>
              <w:t>指企业、合作社、个人等用于现代设施农业发展的资金投入。</w:t>
            </w:r>
          </w:p>
        </w:tc>
      </w:tr>
    </w:tbl>
    <w:p>
      <w:pPr>
        <w:ind w:left="0" w:leftChars="0" w:firstLine="0" w:firstLineChars="0"/>
      </w:pPr>
    </w:p>
    <w:sectPr>
      <w:pgSz w:w="16838" w:h="11906" w:orient="landscape"/>
      <w:pgMar w:top="1800" w:right="1440" w:bottom="1800"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2DC84E3-C4A1-48D5-A13B-FDA8019481D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0DDA10C-FBA3-47C9-B204-D2B69DA2C9A2}"/>
  </w:font>
  <w:font w:name="方正仿宋_GBK">
    <w:panose1 w:val="02000000000000000000"/>
    <w:charset w:val="86"/>
    <w:family w:val="script"/>
    <w:pitch w:val="default"/>
    <w:sig w:usb0="A00002BF" w:usb1="38CF7CFA" w:usb2="00082016" w:usb3="00000000" w:csb0="00040001" w:csb1="00000000"/>
    <w:embedRegular r:id="rId3" w:fontKey="{D107A09D-EC0F-47F0-A295-288FF615288D}"/>
  </w:font>
  <w:font w:name="方正黑体_GBK">
    <w:panose1 w:val="02000000000000000000"/>
    <w:charset w:val="86"/>
    <w:family w:val="auto"/>
    <w:pitch w:val="default"/>
    <w:sig w:usb0="A00002BF" w:usb1="38CF7CFA" w:usb2="00082016" w:usb3="00000000" w:csb0="00040001" w:csb1="00000000"/>
    <w:embedRegular r:id="rId4" w:fontKey="{54697F6E-32B3-431B-AC66-68A669829E51}"/>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embedRegular r:id="rId5" w:fontKey="{3F30B720-7C41-4C76-A0D3-842C3915C3C3}"/>
  </w:font>
  <w:font w:name="方正楷体_GBK">
    <w:panose1 w:val="02000000000000000000"/>
    <w:charset w:val="86"/>
    <w:family w:val="auto"/>
    <w:pitch w:val="default"/>
    <w:sig w:usb0="A00002BF" w:usb1="38CF7CFA" w:usb2="00082016" w:usb3="00000000" w:csb0="00040001" w:csb1="00000000"/>
    <w:embedRegular r:id="rId6" w:fontKey="{98B55C83-1DFE-41CA-AF32-29B4357F6909}"/>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066800" cy="3556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066800" cy="355600"/>
                      </a:xfrm>
                      <a:prstGeom prst="rect">
                        <a:avLst/>
                      </a:prstGeom>
                      <a:noFill/>
                      <a:ln w="6350">
                        <a:noFill/>
                      </a:ln>
                    </wps:spPr>
                    <wps:txbx>
                      <w:txbxContent>
                        <w:p>
                          <w:pPr>
                            <w:pStyle w:val="3"/>
                            <w:rPr>
                              <w:rFonts w:hint="default" w:ascii="Times New Roman" w:hAnsi="Times New Roman" w:cs="Times New Roman"/>
                              <w:sz w:val="28"/>
                              <w:szCs w:val="28"/>
                              <w:lang w:bidi="ar-SA"/>
                            </w:rPr>
                          </w:pPr>
                          <w:r>
                            <w:rPr>
                              <w:rFonts w:hint="default" w:ascii="Times New Roman" w:hAnsi="Times New Roman" w:cs="Times New Roman"/>
                              <w:sz w:val="28"/>
                              <w:szCs w:val="28"/>
                              <w:lang w:bidi="ar-SA"/>
                            </w:rPr>
                            <w:t xml:space="preserve">— </w:t>
                          </w:r>
                          <w:r>
                            <w:rPr>
                              <w:rFonts w:hint="default" w:ascii="Times New Roman" w:hAnsi="Times New Roman" w:cs="Times New Roman"/>
                              <w:sz w:val="28"/>
                              <w:szCs w:val="28"/>
                              <w:lang w:bidi="ar-SA"/>
                            </w:rPr>
                            <w:fldChar w:fldCharType="begin"/>
                          </w:r>
                          <w:r>
                            <w:rPr>
                              <w:rFonts w:hint="default" w:ascii="Times New Roman" w:hAnsi="Times New Roman" w:cs="Times New Roman"/>
                              <w:sz w:val="28"/>
                              <w:szCs w:val="28"/>
                              <w:lang w:bidi="ar-SA"/>
                            </w:rPr>
                            <w:instrText xml:space="preserve"> PAGE  \* MERGEFORMAT </w:instrText>
                          </w:r>
                          <w:r>
                            <w:rPr>
                              <w:rFonts w:hint="default" w:ascii="Times New Roman" w:hAnsi="Times New Roman" w:cs="Times New Roman"/>
                              <w:sz w:val="28"/>
                              <w:szCs w:val="28"/>
                              <w:lang w:bidi="ar-SA"/>
                            </w:rPr>
                            <w:fldChar w:fldCharType="separate"/>
                          </w:r>
                          <w:r>
                            <w:rPr>
                              <w:rFonts w:hint="default" w:ascii="Times New Roman" w:hAnsi="Times New Roman" w:cs="Times New Roman"/>
                              <w:sz w:val="28"/>
                              <w:szCs w:val="28"/>
                              <w:lang w:bidi="ar-SA"/>
                            </w:rPr>
                            <w:t>8</w:t>
                          </w:r>
                          <w:r>
                            <w:rPr>
                              <w:rFonts w:hint="default" w:ascii="Times New Roman" w:hAnsi="Times New Roman" w:cs="Times New Roman"/>
                              <w:sz w:val="28"/>
                              <w:szCs w:val="28"/>
                              <w:lang w:bidi="ar-SA"/>
                            </w:rPr>
                            <w:fldChar w:fldCharType="end"/>
                          </w:r>
                          <w:r>
                            <w:rPr>
                              <w:rFonts w:hint="default" w:ascii="Times New Roman" w:hAnsi="Times New Roman" w:cs="Times New Roman"/>
                              <w:sz w:val="28"/>
                              <w:szCs w:val="28"/>
                              <w:lang w:bidi="ar-SA"/>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28pt;width:84pt;mso-position-horizontal:center;mso-position-horizontal-relative:margin;mso-wrap-style:none;z-index:251659264;mso-width-relative:page;mso-height-relative:page;" filled="f" stroked="f" coordsize="21600,21600" o:gfxdata="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TIo/vNIAAAAEAQAADwAAAAAAAAABACAAAAAiAAAA&#10;ZHJzL2Rvd25yZXYueG1sUEsBAhQAFAAAAAgAh07iQOcnAWDUAQAAoQMAAA4AAAAAAAAAAQAgAAAA&#10;IQEAAGRycy9lMm9Eb2MueG1sUEsFBgAAAAAGAAYAWQEAAGcFAAAAAA==&#10;">
              <v:path/>
              <v:fill on="f" focussize="0,0"/>
              <v:stroke on="f" weight="0.5pt"/>
              <v:imagedata o:title=""/>
              <o:lock v:ext="edit"/>
              <v:textbox inset="0mm,0mm,0mm,0mm" style="mso-fit-shape-to-text:t;">
                <w:txbxContent>
                  <w:p>
                    <w:pPr>
                      <w:pStyle w:val="3"/>
                      <w:rPr>
                        <w:rFonts w:hint="default" w:ascii="Times New Roman" w:hAnsi="Times New Roman" w:cs="Times New Roman"/>
                        <w:sz w:val="28"/>
                        <w:szCs w:val="28"/>
                        <w:lang w:bidi="ar-SA"/>
                      </w:rPr>
                    </w:pPr>
                    <w:r>
                      <w:rPr>
                        <w:rFonts w:hint="default" w:ascii="Times New Roman" w:hAnsi="Times New Roman" w:cs="Times New Roman"/>
                        <w:sz w:val="28"/>
                        <w:szCs w:val="28"/>
                        <w:lang w:bidi="ar-SA"/>
                      </w:rPr>
                      <w:t xml:space="preserve">— </w:t>
                    </w:r>
                    <w:r>
                      <w:rPr>
                        <w:rFonts w:hint="default" w:ascii="Times New Roman" w:hAnsi="Times New Roman" w:cs="Times New Roman"/>
                        <w:sz w:val="28"/>
                        <w:szCs w:val="28"/>
                        <w:lang w:bidi="ar-SA"/>
                      </w:rPr>
                      <w:fldChar w:fldCharType="begin"/>
                    </w:r>
                    <w:r>
                      <w:rPr>
                        <w:rFonts w:hint="default" w:ascii="Times New Roman" w:hAnsi="Times New Roman" w:cs="Times New Roman"/>
                        <w:sz w:val="28"/>
                        <w:szCs w:val="28"/>
                        <w:lang w:bidi="ar-SA"/>
                      </w:rPr>
                      <w:instrText xml:space="preserve"> PAGE  \* MERGEFORMAT </w:instrText>
                    </w:r>
                    <w:r>
                      <w:rPr>
                        <w:rFonts w:hint="default" w:ascii="Times New Roman" w:hAnsi="Times New Roman" w:cs="Times New Roman"/>
                        <w:sz w:val="28"/>
                        <w:szCs w:val="28"/>
                        <w:lang w:bidi="ar-SA"/>
                      </w:rPr>
                      <w:fldChar w:fldCharType="separate"/>
                    </w:r>
                    <w:r>
                      <w:rPr>
                        <w:rFonts w:hint="default" w:ascii="Times New Roman" w:hAnsi="Times New Roman" w:cs="Times New Roman"/>
                        <w:sz w:val="28"/>
                        <w:szCs w:val="28"/>
                        <w:lang w:bidi="ar-SA"/>
                      </w:rPr>
                      <w:t>8</w:t>
                    </w:r>
                    <w:r>
                      <w:rPr>
                        <w:rFonts w:hint="default" w:ascii="Times New Roman" w:hAnsi="Times New Roman" w:cs="Times New Roman"/>
                        <w:sz w:val="28"/>
                        <w:szCs w:val="28"/>
                        <w:lang w:bidi="ar-SA"/>
                      </w:rPr>
                      <w:fldChar w:fldCharType="end"/>
                    </w:r>
                    <w:r>
                      <w:rPr>
                        <w:rFonts w:hint="default" w:ascii="Times New Roman" w:hAnsi="Times New Roman" w:cs="Times New Roman"/>
                        <w:sz w:val="28"/>
                        <w:szCs w:val="28"/>
                        <w:lang w:bidi="ar-SA"/>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EwMzg3MjBlYWI5ZmNlNWMyMjY5YzkxMGZkMDRhYzAifQ=="/>
  </w:docVars>
  <w:rsids>
    <w:rsidRoot w:val="672023D0"/>
    <w:rsid w:val="672023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line="560" w:lineRule="exact"/>
      <w:ind w:firstLine="200" w:firstLineChars="200"/>
      <w:jc w:val="both"/>
    </w:pPr>
    <w:rPr>
      <w:rFonts w:ascii="Calibri" w:hAnsi="Calibri" w:eastAsia="方正仿宋_GBK" w:cs="Times New Roman"/>
      <w:kern w:val="2"/>
      <w:sz w:val="32"/>
      <w:szCs w:val="24"/>
      <w:lang w:val="en-US" w:eastAsia="zh-CN" w:bidi="ar-SA"/>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w:basedOn w:val="1"/>
    <w:uiPriority w:val="0"/>
    <w:pPr>
      <w:spacing w:after="120" w:afterAutospacing="0"/>
      <w:ind w:left="200" w:leftChars="200"/>
    </w:pPr>
  </w:style>
  <w:style w:type="paragraph" w:styleId="3">
    <w:name w:val="footer"/>
    <w:basedOn w:val="1"/>
    <w:uiPriority w:val="0"/>
    <w:pPr>
      <w:tabs>
        <w:tab w:val="center" w:pos="4153"/>
        <w:tab w:val="right" w:pos="8306"/>
      </w:tabs>
      <w:snapToGrid w:val="0"/>
      <w:jc w:val="left"/>
    </w:pPr>
    <w:rPr>
      <w:rFonts w:ascii="Calibri" w:hAnsi="Calibri" w:eastAsia="宋体" w:cs="Times New Roman"/>
      <w:sz w:val="18"/>
      <w:szCs w:val="18"/>
      <w:lang w:bidi="ar-SA"/>
    </w:rPr>
  </w:style>
  <w:style w:type="paragraph" w:styleId="4">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cs="宋体"/>
      <w:kern w:val="0"/>
      <w:sz w:val="24"/>
      <w:szCs w:val="24"/>
      <w:lang w:val="en-US" w:eastAsia="zh-CN" w:bidi="ar-SA"/>
    </w:rPr>
  </w:style>
  <w:style w:type="paragraph" w:styleId="5">
    <w:name w:val="Normal (Web)"/>
    <w:basedOn w:val="1"/>
    <w:qFormat/>
    <w:uiPriority w:val="0"/>
    <w:pPr>
      <w:widowControl/>
      <w:spacing w:before="100" w:beforeAutospacing="1" w:after="100" w:afterAutospacing="1"/>
      <w:jc w:val="left"/>
    </w:pPr>
    <w:rPr>
      <w:rFonts w:ascii="宋体" w:eastAsia="宋体" w:cs="宋体"/>
      <w:kern w:val="0"/>
      <w:sz w:val="24"/>
      <w:szCs w:val="24"/>
      <w:lang w:bidi="ar-SA"/>
    </w:rPr>
  </w:style>
  <w:style w:type="paragraph" w:styleId="6">
    <w:name w:val="Body Text First Indent 2"/>
    <w:basedOn w:val="2"/>
    <w:qFormat/>
    <w:uiPriority w:val="0"/>
    <w:pPr>
      <w:ind w:firstLine="200" w:firstLineChars="200"/>
    </w:pPr>
  </w:style>
  <w:style w:type="paragraph" w:customStyle="1" w:styleId="9">
    <w:name w:val="表格文字"/>
    <w:next w:val="1"/>
    <w:uiPriority w:val="0"/>
    <w:pPr>
      <w:widowControl w:val="0"/>
      <w:wordWrap w:val="0"/>
      <w:topLinePunct/>
      <w:adjustRightInd w:val="0"/>
      <w:snapToGrid w:val="0"/>
      <w:jc w:val="center"/>
    </w:pPr>
    <w:rPr>
      <w:rFonts w:ascii="Times New Roman" w:hAnsi="Times New Roman" w:eastAsia="方正仿宋_GBK" w:cs="Times New Roman"/>
      <w:sz w:val="24"/>
      <w:szCs w:val="3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2023-11-24T05:48:00Z</dcterms:created>
  <dc:creator>阿玉</dc:creator>
  <cp:lastModifiedBy>阿玉</cp:lastModifiedBy>
  <dcterms:modified xsi:type="dcterms:W3CDTF">2023-11-24T05:51:11Z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D307BD676E1F4530B2D3116F1B107C0E_11</vt:lpwstr>
  </property>
</Properties>
</file>