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Helvetica" w:hAnsi="Helvetica" w:eastAsia="Helvetica" w:cs="Helvetica"/>
          <w:i w:val="0"/>
          <w:caps w:val="0"/>
          <w:color w:val="000000"/>
          <w:spacing w:val="0"/>
          <w:sz w:val="37"/>
          <w:szCs w:val="37"/>
          <w:shd w:val="clear" w:fill="FFFFFF"/>
        </w:rPr>
      </w:pPr>
      <w:r>
        <w:rPr>
          <w:rFonts w:ascii="Helvetica" w:hAnsi="Helvetica" w:eastAsia="Helvetica" w:cs="Helvetica"/>
          <w:i w:val="0"/>
          <w:caps w:val="0"/>
          <w:color w:val="000000"/>
          <w:spacing w:val="0"/>
          <w:sz w:val="37"/>
          <w:szCs w:val="37"/>
          <w:shd w:val="clear" w:fill="FFFFFF"/>
        </w:rPr>
        <w:t>关于江苏省补短板200马力及以上无级变速高端智能拖拉机购置与应用补贴机具补贴额一览表（公示稿）的公示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根据农业农村部、财政部2024-2026年农机购置与应用补贴实施意见等要求，经专家论证，我厅制定了《江苏省补短板200马力及以上无级变速高端智能拖拉机购置与应用补贴机具补贴额一览表（公示稿）》（见附件），现予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公示期自即日起7天。如有异议，请于公示期间以书面形式（单位需加盖公章）通过电子邮件向江苏省农业农村厅农机管理处反映，注明姓名、单位及联系方式等。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补贴额一览表以印发的文件为准执行。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联系电话：025-86263069，电子邮箱：jsnj2019@sina.com。</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附件：江苏省补短板200马力及以上无级变速高端智能拖拉机购置与应用补贴机具补贴额一览表（公示稿）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righ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江苏省农业农村厅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right"/>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2025年3月28日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left"/>
        <w:rPr>
          <w:rFonts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center"/>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江苏省补短板200马力及以上无级变速高端智能拖拉机购置与应用补贴机具补贴额一览表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20"/>
        <w:jc w:val="center"/>
        <w:rPr>
          <w:rFonts w:hint="default" w:ascii="Helvetica" w:hAnsi="Helvetica" w:eastAsia="Helvetica" w:cs="Helvetica"/>
          <w:i w:val="0"/>
          <w:caps w:val="0"/>
          <w:color w:val="333333"/>
          <w:spacing w:val="0"/>
          <w:sz w:val="27"/>
          <w:szCs w:val="27"/>
        </w:rPr>
      </w:pPr>
      <w:r>
        <w:rPr>
          <w:rFonts w:hint="default" w:ascii="Helvetica" w:hAnsi="Helvetica" w:eastAsia="Helvetica" w:cs="Helvetica"/>
          <w:i w:val="0"/>
          <w:caps w:val="0"/>
          <w:color w:val="333333"/>
          <w:spacing w:val="0"/>
          <w:sz w:val="27"/>
          <w:szCs w:val="27"/>
          <w:bdr w:val="none" w:color="auto" w:sz="0" w:space="0"/>
          <w:shd w:val="clear" w:fill="FFFFFF"/>
        </w:rPr>
        <w:t>（公示稿）</w:t>
      </w:r>
    </w:p>
    <w:tbl>
      <w:tblPr>
        <w:tblW w:w="87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691"/>
        <w:gridCol w:w="691"/>
        <w:gridCol w:w="691"/>
        <w:gridCol w:w="691"/>
        <w:gridCol w:w="1292"/>
        <w:gridCol w:w="2299"/>
        <w:gridCol w:w="1202"/>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95" w:hRule="atLeast"/>
        </w:trPr>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ascii="Calibri" w:hAnsi="Calibri" w:cs="Calibri"/>
                <w:color w:val="333333"/>
                <w:sz w:val="21"/>
                <w:szCs w:val="21"/>
              </w:rPr>
            </w:pPr>
            <w:r>
              <w:rPr>
                <w:rFonts w:ascii="方正黑体_GBK" w:hAnsi="方正黑体_GBK" w:eastAsia="方正黑体_GBK" w:cs="方正黑体_GBK"/>
                <w:i w:val="0"/>
                <w:caps w:val="0"/>
                <w:color w:val="333333"/>
                <w:spacing w:val="0"/>
                <w:sz w:val="24"/>
                <w:szCs w:val="24"/>
                <w:bdr w:val="none" w:color="auto" w:sz="0" w:space="0"/>
              </w:rPr>
              <w:t>序号</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大类</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小类</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品目</w:t>
            </w:r>
          </w:p>
        </w:tc>
        <w:tc>
          <w:tcPr>
            <w:tcW w:w="12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档次名称</w:t>
            </w:r>
          </w:p>
        </w:tc>
        <w:tc>
          <w:tcPr>
            <w:tcW w:w="2295"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基本配置和参数</w:t>
            </w:r>
          </w:p>
        </w:tc>
        <w:tc>
          <w:tcPr>
            <w:tcW w:w="120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中央财政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补贴额</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（元）</w:t>
            </w:r>
          </w:p>
        </w:tc>
        <w:tc>
          <w:tcPr>
            <w:tcW w:w="123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黑体_GBK" w:hAnsi="方正黑体_GBK" w:eastAsia="方正黑体_GBK" w:cs="方正黑体_GBK"/>
                <w:i w:val="0"/>
                <w:caps w:val="0"/>
                <w:color w:val="333333"/>
                <w:spacing w:val="0"/>
                <w:sz w:val="24"/>
                <w:szCs w:val="24"/>
                <w:bdr w:val="none" w:color="auto" w:sz="0" w:space="0"/>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185" w:hRule="atLeast"/>
        </w:trPr>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1</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ascii="方正仿宋_GBK" w:hAnsi="方正仿宋_GBK" w:eastAsia="方正仿宋_GBK" w:cs="方正仿宋_GBK"/>
                <w:i w:val="0"/>
                <w:caps w:val="0"/>
                <w:color w:val="333333"/>
                <w:spacing w:val="0"/>
                <w:sz w:val="24"/>
                <w:szCs w:val="24"/>
                <w:bdr w:val="none" w:color="auto" w:sz="0" w:space="0"/>
              </w:rPr>
              <w:t>农用动力机械</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拖拉机</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轮式拖拉机（新产品试点）</w:t>
            </w:r>
          </w:p>
        </w:tc>
        <w:tc>
          <w:tcPr>
            <w:tcW w:w="1290" w:type="dxa"/>
            <w:tcBorders>
              <w:top w:val="single" w:color="auto" w:sz="6" w:space="0"/>
              <w:left w:val="single" w:color="auto" w:sz="6" w:space="0"/>
              <w:bottom w:val="single" w:color="000000" w:sz="6" w:space="0"/>
              <w:right w:val="single" w:color="000000"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both"/>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200</w:t>
            </w:r>
            <w:r>
              <w:rPr>
                <w:rFonts w:hint="eastAsia" w:ascii="方正仿宋_GBK" w:hAnsi="方正仿宋_GBK" w:eastAsia="方正仿宋_GBK" w:cs="方正仿宋_GBK"/>
                <w:i w:val="0"/>
                <w:caps w:val="0"/>
                <w:color w:val="333333"/>
                <w:spacing w:val="0"/>
                <w:sz w:val="24"/>
                <w:szCs w:val="24"/>
                <w:bdr w:val="none" w:color="auto" w:sz="0" w:space="0"/>
              </w:rPr>
              <w:t>马力及以上四轮驱动混合动力电动无级变速辅助驾驶智控拖拉机</w:t>
            </w:r>
          </w:p>
        </w:tc>
        <w:tc>
          <w:tcPr>
            <w:tcW w:w="2295"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both"/>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功率</w:t>
            </w:r>
            <w:r>
              <w:rPr>
                <w:rFonts w:hint="default" w:ascii="Times New Roman" w:hAnsi="Times New Roman" w:eastAsia="Helvetica" w:cs="Times New Roman"/>
                <w:i w:val="0"/>
                <w:caps w:val="0"/>
                <w:color w:val="333333"/>
                <w:spacing w:val="0"/>
                <w:sz w:val="24"/>
                <w:szCs w:val="24"/>
                <w:bdr w:val="none" w:color="auto" w:sz="0" w:space="0"/>
              </w:rPr>
              <w:t>≥200</w:t>
            </w:r>
            <w:r>
              <w:rPr>
                <w:rFonts w:hint="eastAsia" w:ascii="方正仿宋_GBK" w:hAnsi="方正仿宋_GBK" w:eastAsia="方正仿宋_GBK" w:cs="方正仿宋_GBK"/>
                <w:i w:val="0"/>
                <w:caps w:val="0"/>
                <w:color w:val="333333"/>
                <w:spacing w:val="0"/>
                <w:sz w:val="24"/>
                <w:szCs w:val="24"/>
                <w:bdr w:val="none" w:color="auto" w:sz="0" w:space="0"/>
              </w:rPr>
              <w:t>马力；驱动方式：四轮驱动；换挡方式：无级变速；类型：混合动力电动拖拉机；智能控制；最小使用比质量</w:t>
            </w:r>
            <w:r>
              <w:rPr>
                <w:rFonts w:hint="default" w:ascii="Times New Roman" w:hAnsi="Times New Roman" w:eastAsia="Helvetica" w:cs="Times New Roman"/>
                <w:i w:val="0"/>
                <w:caps w:val="0"/>
                <w:color w:val="333333"/>
                <w:spacing w:val="0"/>
                <w:sz w:val="24"/>
                <w:szCs w:val="24"/>
                <w:bdr w:val="none" w:color="auto" w:sz="0" w:space="0"/>
              </w:rPr>
              <w:t>≥43kg/kW</w:t>
            </w:r>
            <w:r>
              <w:rPr>
                <w:rFonts w:hint="eastAsia" w:ascii="方正仿宋_GBK" w:hAnsi="方正仿宋_GBK" w:eastAsia="方正仿宋_GBK" w:cs="方正仿宋_GBK"/>
                <w:i w:val="0"/>
                <w:caps w:val="0"/>
                <w:color w:val="333333"/>
                <w:spacing w:val="0"/>
                <w:sz w:val="24"/>
                <w:szCs w:val="24"/>
                <w:bdr w:val="none" w:color="auto" w:sz="0" w:space="0"/>
              </w:rPr>
              <w:t>；前装辅助驾驶（系统）设备（卫星接收机板卡类型及频点：北斗信号）；传动系关键部件应是国内自主创新产品</w:t>
            </w:r>
          </w:p>
        </w:tc>
        <w:tc>
          <w:tcPr>
            <w:tcW w:w="120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175000</w:t>
            </w:r>
          </w:p>
        </w:tc>
        <w:tc>
          <w:tcPr>
            <w:tcW w:w="1230" w:type="dxa"/>
            <w:vMerge w:val="restart"/>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65" w:afterAutospacing="0" w:line="315" w:lineRule="atLeast"/>
              <w:ind w:left="0" w:right="0"/>
              <w:jc w:val="both"/>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1</w:t>
            </w:r>
            <w:r>
              <w:rPr>
                <w:rFonts w:hint="eastAsia" w:ascii="方正仿宋_GBK" w:hAnsi="方正仿宋_GBK" w:eastAsia="方正仿宋_GBK" w:cs="方正仿宋_GBK"/>
                <w:i w:val="0"/>
                <w:caps w:val="0"/>
                <w:color w:val="333333"/>
                <w:spacing w:val="0"/>
                <w:sz w:val="24"/>
                <w:szCs w:val="24"/>
                <w:bdr w:val="none" w:color="auto" w:sz="0" w:space="0"/>
              </w:rPr>
              <w:t>、类型参照国家标准</w:t>
            </w:r>
            <w:r>
              <w:rPr>
                <w:rFonts w:hint="default" w:ascii="Times New Roman" w:hAnsi="Times New Roman" w:eastAsia="Helvetica" w:cs="Times New Roman"/>
                <w:i w:val="0"/>
                <w:caps w:val="0"/>
                <w:color w:val="333333"/>
                <w:spacing w:val="0"/>
                <w:sz w:val="24"/>
                <w:szCs w:val="24"/>
                <w:bdr w:val="none" w:color="auto" w:sz="0" w:space="0"/>
              </w:rPr>
              <w:t>GB/T 6960</w:t>
            </w:r>
            <w:r>
              <w:rPr>
                <w:rFonts w:hint="eastAsia" w:ascii="方正仿宋_GBK" w:hAnsi="方正仿宋_GBK" w:eastAsia="方正仿宋_GBK" w:cs="方正仿宋_GBK"/>
                <w:i w:val="0"/>
                <w:caps w:val="0"/>
                <w:color w:val="333333"/>
                <w:spacing w:val="0"/>
                <w:sz w:val="24"/>
                <w:szCs w:val="24"/>
                <w:bdr w:val="none" w:color="auto" w:sz="0" w:space="0"/>
              </w:rPr>
              <w:t>《拖拉机术语》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65" w:afterAutospacing="0" w:line="315" w:lineRule="atLeast"/>
              <w:ind w:left="0" w:right="0"/>
              <w:jc w:val="both"/>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2</w:t>
            </w:r>
            <w:r>
              <w:rPr>
                <w:rFonts w:hint="eastAsia" w:ascii="方正仿宋_GBK" w:hAnsi="方正仿宋_GBK" w:eastAsia="方正仿宋_GBK" w:cs="方正仿宋_GBK"/>
                <w:i w:val="0"/>
                <w:caps w:val="0"/>
                <w:color w:val="333333"/>
                <w:spacing w:val="0"/>
                <w:sz w:val="24"/>
                <w:szCs w:val="24"/>
                <w:bdr w:val="none" w:color="auto" w:sz="0" w:space="0"/>
              </w:rPr>
              <w:t>、智能控制是指具备电液控制三点悬挂装置及以下至少一项功能：电液控制四轮驱动、电液控制动力输出轴、电液控制多路阀、电控液压转向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185" w:hRule="atLeast"/>
        </w:trPr>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2</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农用动力机械</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拖拉机</w:t>
            </w:r>
          </w:p>
        </w:tc>
        <w:tc>
          <w:tcPr>
            <w:tcW w:w="6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轮式拖拉机</w:t>
            </w:r>
          </w:p>
        </w:tc>
        <w:tc>
          <w:tcPr>
            <w:tcW w:w="129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both"/>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200</w:t>
            </w:r>
            <w:r>
              <w:rPr>
                <w:rFonts w:hint="eastAsia" w:ascii="方正仿宋_GBK" w:hAnsi="方正仿宋_GBK" w:eastAsia="方正仿宋_GBK" w:cs="方正仿宋_GBK"/>
                <w:i w:val="0"/>
                <w:caps w:val="0"/>
                <w:color w:val="333333"/>
                <w:spacing w:val="0"/>
                <w:sz w:val="24"/>
                <w:szCs w:val="24"/>
                <w:bdr w:val="none" w:color="auto" w:sz="0" w:space="0"/>
              </w:rPr>
              <w:t>马力及以上四轮驱动液压机械无级变速辅助驾驶智控拖拉机</w:t>
            </w:r>
          </w:p>
        </w:tc>
        <w:tc>
          <w:tcPr>
            <w:tcW w:w="2295"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both"/>
              <w:rPr>
                <w:rFonts w:hint="default" w:ascii="Calibri" w:hAnsi="Calibri" w:cs="Calibri"/>
                <w:color w:val="333333"/>
                <w:sz w:val="21"/>
                <w:szCs w:val="21"/>
              </w:rPr>
            </w:pPr>
            <w:r>
              <w:rPr>
                <w:rFonts w:hint="eastAsia" w:ascii="方正仿宋_GBK" w:hAnsi="方正仿宋_GBK" w:eastAsia="方正仿宋_GBK" w:cs="方正仿宋_GBK"/>
                <w:i w:val="0"/>
                <w:caps w:val="0"/>
                <w:color w:val="333333"/>
                <w:spacing w:val="0"/>
                <w:sz w:val="24"/>
                <w:szCs w:val="24"/>
                <w:bdr w:val="none" w:color="auto" w:sz="0" w:space="0"/>
              </w:rPr>
              <w:t>功率</w:t>
            </w:r>
            <w:r>
              <w:rPr>
                <w:rFonts w:hint="default" w:ascii="Times New Roman" w:hAnsi="Times New Roman" w:eastAsia="Helvetica" w:cs="Times New Roman"/>
                <w:i w:val="0"/>
                <w:caps w:val="0"/>
                <w:color w:val="333333"/>
                <w:spacing w:val="0"/>
                <w:sz w:val="24"/>
                <w:szCs w:val="24"/>
                <w:bdr w:val="none" w:color="auto" w:sz="0" w:space="0"/>
              </w:rPr>
              <w:t>≥200</w:t>
            </w:r>
            <w:r>
              <w:rPr>
                <w:rFonts w:hint="eastAsia" w:ascii="方正仿宋_GBK" w:hAnsi="方正仿宋_GBK" w:eastAsia="方正仿宋_GBK" w:cs="方正仿宋_GBK"/>
                <w:i w:val="0"/>
                <w:caps w:val="0"/>
                <w:color w:val="333333"/>
                <w:spacing w:val="0"/>
                <w:sz w:val="24"/>
                <w:szCs w:val="24"/>
                <w:bdr w:val="none" w:color="auto" w:sz="0" w:space="0"/>
              </w:rPr>
              <w:t>马力；驱动方式：四轮驱动；变速箱类型：液压机械无级变速；智能控制；最小使用比质量</w:t>
            </w:r>
            <w:r>
              <w:rPr>
                <w:rFonts w:hint="default" w:ascii="Times New Roman" w:hAnsi="Times New Roman" w:eastAsia="Helvetica" w:cs="Times New Roman"/>
                <w:i w:val="0"/>
                <w:caps w:val="0"/>
                <w:color w:val="333333"/>
                <w:spacing w:val="0"/>
                <w:sz w:val="24"/>
                <w:szCs w:val="24"/>
                <w:bdr w:val="none" w:color="auto" w:sz="0" w:space="0"/>
              </w:rPr>
              <w:t>≥43kg/kW</w:t>
            </w:r>
            <w:r>
              <w:rPr>
                <w:rFonts w:hint="eastAsia" w:ascii="方正仿宋_GBK" w:hAnsi="方正仿宋_GBK" w:eastAsia="方正仿宋_GBK" w:cs="方正仿宋_GBK"/>
                <w:i w:val="0"/>
                <w:caps w:val="0"/>
                <w:color w:val="333333"/>
                <w:spacing w:val="0"/>
                <w:sz w:val="24"/>
                <w:szCs w:val="24"/>
                <w:bdr w:val="none" w:color="auto" w:sz="0" w:space="0"/>
              </w:rPr>
              <w:t>；前装辅助驾驶（系统）设备（卫星接收机板卡类型及频点：北斗信号）；传动系关键部件应是国内自主创新产品</w:t>
            </w:r>
          </w:p>
        </w:tc>
        <w:tc>
          <w:tcPr>
            <w:tcW w:w="120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color w:val="333333"/>
                <w:sz w:val="21"/>
                <w:szCs w:val="21"/>
              </w:rPr>
            </w:pPr>
            <w:r>
              <w:rPr>
                <w:rFonts w:hint="default" w:ascii="Times New Roman" w:hAnsi="Times New Roman" w:eastAsia="Helvetica" w:cs="Times New Roman"/>
                <w:i w:val="0"/>
                <w:caps w:val="0"/>
                <w:color w:val="333333"/>
                <w:spacing w:val="0"/>
                <w:sz w:val="24"/>
                <w:szCs w:val="24"/>
                <w:bdr w:val="none" w:color="auto" w:sz="0" w:space="0"/>
              </w:rPr>
              <w:t>200000</w:t>
            </w:r>
          </w:p>
        </w:tc>
        <w:tc>
          <w:tcPr>
            <w:tcW w:w="1230" w:type="dxa"/>
            <w:vMerge w:val="continue"/>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rPr>
                <w:rFonts w:hint="default" w:ascii="Helvetica" w:hAnsi="Helvetica" w:eastAsia="Helvetica" w:cs="Helvetica"/>
                <w:i w:val="0"/>
                <w:caps w:val="0"/>
                <w:color w:val="333333"/>
                <w:spacing w:val="0"/>
                <w:sz w:val="27"/>
                <w:szCs w:val="27"/>
              </w:rPr>
            </w:pPr>
          </w:p>
        </w:tc>
      </w:tr>
    </w:tbl>
    <w:p>
      <w:pPr>
        <w:rPr>
          <w:rFonts w:ascii="Helvetica" w:hAnsi="Helvetica" w:eastAsia="Helvetica" w:cs="Helvetica"/>
          <w:i w:val="0"/>
          <w:caps w:val="0"/>
          <w:color w:val="000000"/>
          <w:spacing w:val="0"/>
          <w:sz w:val="37"/>
          <w:szCs w:val="37"/>
          <w:shd w:val="clear" w:fill="FFFFFF"/>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3211F1"/>
    <w:rsid w:val="12321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2025-04-15T02:47:00Z</dcterms:created>
  <dc:creator>689689</dc:creator>
  <cp:lastModifiedBy>689689</cp:lastModifiedBy>
  <dcterms:modified xsi:type="dcterms:W3CDTF">2025-04-15T02:48:10Z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