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line="570" w:lineRule="exact"/>
        <w:jc w:val="center"/>
        <w:rPr>
          <w:rFonts w:ascii="方正小标宋_GBK" w:eastAsia="方正小标宋_GBK" w:cs="方正小标宋_GBK" w:hint="eastAsia"/>
          <w:sz w:val="44"/>
          <w:szCs w:val="44"/>
        </w:rPr>
      </w:pPr>
      <w:r>
        <w:rPr>
          <w:rFonts w:ascii="方正小标宋_GBK" w:eastAsia="方正小标宋_GBK" w:cs="方正小标宋_GBK" w:hint="eastAsia"/>
          <w:sz w:val="44"/>
          <w:szCs w:val="44"/>
        </w:rPr>
        <w:t>《骆马湖禁渔管理规定（征求意见稿）》</w:t>
      </w:r>
    </w:p>
    <w:p>
      <w:pPr>
        <w:spacing w:line="570" w:lineRule="exact"/>
        <w:jc w:val="center"/>
        <w:rPr>
          <w:rFonts w:ascii="方正小标宋_GBK" w:eastAsia="方正小标宋_GBK" w:cs="方正小标宋_GBK" w:hint="eastAsia"/>
          <w:sz w:val="44"/>
          <w:szCs w:val="44"/>
        </w:rPr>
      </w:pPr>
      <w:r>
        <w:rPr>
          <w:rFonts w:ascii="方正小标宋_GBK" w:eastAsia="方正小标宋_GBK" w:cs="方正小标宋_GBK" w:hint="eastAsia"/>
          <w:sz w:val="44"/>
          <w:szCs w:val="44"/>
        </w:rPr>
        <w:t>起草说明</w:t>
      </w:r>
    </w:p>
    <w:p>
      <w:pPr>
        <w:widowControl/>
        <w:spacing w:line="520" w:lineRule="exact"/>
        <w:ind w:firstLineChars="200" w:firstLine="640"/>
        <w:jc w:val="left"/>
        <w:rPr>
          <w:rFonts w:eastAsia="方正小标宋简体"/>
          <w:kern w:val="0"/>
          <w:sz w:val="32"/>
          <w:szCs w:val="32"/>
        </w:rPr>
      </w:pPr>
    </w:p>
    <w:p>
      <w:pPr>
        <w:spacing w:line="520" w:lineRule="exact"/>
        <w:ind w:firstLineChars="200" w:firstLine="640"/>
        <w:jc w:val="left"/>
        <w:rPr>
          <w:rFonts w:eastAsia="仿宋_GB2312"/>
          <w:sz w:val="32"/>
          <w:szCs w:val="32"/>
        </w:rPr>
      </w:pPr>
      <w:r>
        <w:rPr>
          <w:rFonts w:eastAsia="仿宋_GB2312"/>
          <w:sz w:val="32"/>
          <w:szCs w:val="32"/>
        </w:rPr>
        <w:t>为进一步加强骆马湖水生生物资源保护，维护生物多样性，保障生态安全，促进渔业高质量发展，根据《中华人民共和国渔业法》《中华人民共和国渔业法实施细则》《江苏省渔业管理条例》等法律法规，以及农业农村部禁捕退捕等文件要求，结合湖区实际，江苏省骆马湖渔业管理委员会办公室组织起草</w:t>
      </w:r>
      <w:r>
        <w:rPr>
          <w:rFonts w:eastAsia="仿宋_GB2312" w:hint="eastAsia"/>
          <w:sz w:val="32"/>
          <w:szCs w:val="32"/>
        </w:rPr>
        <w:t>了</w:t>
      </w:r>
      <w:r>
        <w:rPr>
          <w:rFonts w:eastAsia="仿宋_GB2312"/>
          <w:sz w:val="32"/>
          <w:szCs w:val="32"/>
        </w:rPr>
        <w:t>《骆马湖禁渔管理规定（征求意见稿）》（以下简称《规定》），现就有关情况说明如下：</w:t>
      </w:r>
    </w:p>
    <w:p>
      <w:pPr>
        <w:spacing w:line="520" w:lineRule="exact"/>
        <w:ind w:firstLineChars="200" w:firstLine="640"/>
        <w:jc w:val="left"/>
        <w:rPr>
          <w:rFonts w:eastAsia="黑体"/>
          <w:sz w:val="32"/>
          <w:szCs w:val="32"/>
        </w:rPr>
      </w:pPr>
      <w:r>
        <w:rPr>
          <w:rFonts w:eastAsia="黑体"/>
          <w:sz w:val="32"/>
          <w:szCs w:val="32"/>
        </w:rPr>
        <w:t>一、制定背景</w:t>
      </w:r>
    </w:p>
    <w:p>
      <w:pPr>
        <w:spacing w:line="520" w:lineRule="exact"/>
        <w:ind w:firstLineChars="200" w:firstLine="640"/>
        <w:jc w:val="left"/>
        <w:rPr>
          <w:rFonts w:eastAsia="仿宋_GB2312" w:hint="eastAsia"/>
          <w:sz w:val="32"/>
          <w:szCs w:val="32"/>
        </w:rPr>
      </w:pPr>
      <w:r>
        <w:rPr>
          <w:rFonts w:eastAsia="仿宋_GB2312"/>
          <w:sz w:val="32"/>
        </w:rPr>
        <w:t>《中国水生生物资源养护行动纲要》提出了三项水生生物资源养护行动，</w:t>
      </w:r>
      <w:r>
        <w:rPr>
          <w:rFonts w:eastAsia="仿宋_GB2312"/>
          <w:sz w:val="32"/>
          <w:szCs w:val="32"/>
        </w:rPr>
        <w:t>其中渔业</w:t>
      </w:r>
      <w:r>
        <w:rPr>
          <w:rFonts w:eastAsia="仿宋_GB2312"/>
          <w:sz w:val="32"/>
        </w:rPr>
        <w:t>资源保护与增殖行动明确规定：“通过建立禁渔区和禁渔期制度、水产种质资源保护区等措施，积极主动恢复渔业资源，提高资源利用效率。”</w:t>
      </w:r>
      <w:r>
        <w:rPr>
          <w:rFonts w:eastAsia="仿宋_GB2312"/>
          <w:sz w:val="32"/>
          <w:szCs w:val="32"/>
        </w:rPr>
        <w:t>党的二十大更是将生态文明建设提升到新的战略高度，明确提出：“提升生态系统多样性、稳定性、持续性，加快实施重要生态系统保护和修复重大工程，实施生物多样性保护重大工程，推行草原森林河流湖泊湿地休养生息，实施好长江十年禁渔”。今年3月18日，国务院办公厅印发《关于坚定不移推进长江十年禁渔工作的意见》（国办发〔2024〕12号）文件，</w:t>
      </w:r>
      <w:r>
        <w:rPr>
          <w:rFonts w:eastAsia="仿宋_GB2312"/>
          <w:spacing w:val="8"/>
          <w:sz w:val="32"/>
          <w:szCs w:val="21"/>
        </w:rPr>
        <w:t>要求各地坚定不移推进长江十年禁渔</w:t>
      </w:r>
      <w:r>
        <w:rPr>
          <w:rFonts w:eastAsia="仿宋_GB2312"/>
          <w:sz w:val="32"/>
          <w:szCs w:val="32"/>
        </w:rPr>
        <w:t>，加快推进生态</w:t>
      </w:r>
      <w:r>
        <w:rPr>
          <w:rFonts w:eastAsia="仿宋_GB2312" w:hint="eastAsia"/>
          <w:sz w:val="32"/>
          <w:szCs w:val="32"/>
        </w:rPr>
        <w:t>修复。</w:t>
      </w:r>
    </w:p>
    <w:p>
      <w:pPr>
        <w:spacing w:line="520" w:lineRule="exact"/>
        <w:ind w:firstLineChars="200" w:firstLine="672"/>
        <w:jc w:val="left"/>
        <w:rPr>
          <w:rFonts w:eastAsia="仿宋_GB2312"/>
          <w:sz w:val="32"/>
          <w:szCs w:val="32"/>
        </w:rPr>
      </w:pPr>
      <w:r>
        <w:rPr>
          <w:rFonts w:eastAsia="仿宋_GB2312"/>
          <w:spacing w:val="8"/>
          <w:sz w:val="32"/>
          <w:szCs w:val="21"/>
        </w:rPr>
        <w:t>骆马湖</w:t>
      </w:r>
      <w:r>
        <w:rPr>
          <w:rFonts w:eastAsia="仿宋_GB2312"/>
          <w:sz w:val="32"/>
          <w:szCs w:val="32"/>
        </w:rPr>
        <w:t>是一个兼具蓄水、灌溉、航运、调水、渔业及旅游等多功能为一体的湖泊，</w:t>
      </w:r>
      <w:r>
        <w:rPr>
          <w:rFonts w:eastAsia="仿宋_GB2312"/>
          <w:spacing w:val="8"/>
          <w:sz w:val="32"/>
          <w:szCs w:val="21"/>
        </w:rPr>
        <w:t>在苏北经济体系中有着独特的重要地位</w:t>
      </w:r>
      <w:r>
        <w:rPr>
          <w:rFonts w:eastAsia="仿宋_GB2312"/>
          <w:sz w:val="32"/>
          <w:szCs w:val="32"/>
        </w:rPr>
        <w:t>，也是南水北调工程的重要中转站</w:t>
      </w:r>
      <w:r>
        <w:rPr>
          <w:rFonts w:eastAsia="仿宋_GB2312" w:hint="eastAsia"/>
          <w:sz w:val="32"/>
          <w:szCs w:val="32"/>
          <w:lang w:eastAsia="zh-CN"/>
        </w:rPr>
        <w:t>和</w:t>
      </w:r>
      <w:r>
        <w:rPr>
          <w:rFonts w:eastAsia="仿宋_GB2312"/>
          <w:sz w:val="32"/>
          <w:szCs w:val="32"/>
        </w:rPr>
        <w:t>徐州、宿迁两市的重要饮用水源地</w:t>
      </w:r>
      <w:r>
        <w:rPr>
          <w:rFonts w:eastAsia="仿宋_GB2312" w:hint="eastAsia"/>
          <w:sz w:val="32"/>
          <w:szCs w:val="32"/>
        </w:rPr>
        <w:t>。</w:t>
      </w:r>
      <w:r>
        <w:rPr>
          <w:rFonts w:eastAsia="仿宋_GB2312"/>
          <w:sz w:val="32"/>
          <w:szCs w:val="32"/>
        </w:rPr>
        <w:t>湖区现设有4个饮用水</w:t>
      </w:r>
      <w:r>
        <w:rPr>
          <w:rFonts w:eastAsia="仿宋_GB2312" w:hint="eastAsia"/>
          <w:sz w:val="32"/>
          <w:szCs w:val="32"/>
          <w:lang w:eastAsia="zh-CN"/>
        </w:rPr>
        <w:t>取水</w:t>
      </w:r>
      <w:r>
        <w:rPr>
          <w:rFonts w:eastAsia="仿宋_GB2312"/>
          <w:sz w:val="32"/>
          <w:szCs w:val="32"/>
        </w:rPr>
        <w:t>地</w:t>
      </w:r>
      <w:r>
        <w:rPr>
          <w:rFonts w:eastAsia="仿宋_GB2312" w:hint="eastAsia"/>
          <w:sz w:val="32"/>
          <w:szCs w:val="32"/>
        </w:rPr>
        <w:t>、</w:t>
      </w:r>
      <w:r>
        <w:rPr>
          <w:rFonts w:eastAsia="仿宋_GB2312"/>
          <w:sz w:val="32"/>
          <w:szCs w:val="32"/>
        </w:rPr>
        <w:t>2个国家级水产种质资源保护区，</w:t>
      </w:r>
      <w:r>
        <w:rPr>
          <w:rFonts w:eastAsia="仿宋_GB2312"/>
          <w:spacing w:val="8"/>
          <w:sz w:val="32"/>
          <w:szCs w:val="21"/>
        </w:rPr>
        <w:t>作为长江流域禁捕退捕重点水域，实施禁渔管理，对保护渔业资源，维护良好的水域生态环境，责任重大、意义重大</w:t>
      </w:r>
      <w:r>
        <w:rPr>
          <w:rFonts w:eastAsia="仿宋_GB2312"/>
          <w:sz w:val="32"/>
          <w:szCs w:val="32"/>
        </w:rPr>
        <w:t>。</w:t>
      </w:r>
    </w:p>
    <w:p>
      <w:pPr>
        <w:spacing w:line="520" w:lineRule="exact"/>
        <w:ind w:firstLineChars="200" w:firstLine="640"/>
        <w:jc w:val="left"/>
        <w:rPr>
          <w:rFonts w:eastAsia="黑体"/>
          <w:sz w:val="32"/>
          <w:szCs w:val="32"/>
        </w:rPr>
      </w:pPr>
      <w:r>
        <w:rPr>
          <w:rFonts w:eastAsia="黑体"/>
          <w:sz w:val="32"/>
          <w:szCs w:val="32"/>
        </w:rPr>
        <w:t>二、制定必要性</w:t>
      </w:r>
    </w:p>
    <w:p>
      <w:pPr>
        <w:spacing w:line="520" w:lineRule="exact"/>
        <w:ind w:firstLineChars="200" w:firstLine="420"/>
        <w:jc w:val="left"/>
        <w:rPr>
          <w:rFonts w:eastAsia="仿宋_GB2312"/>
          <w:sz w:val="32"/>
          <w:szCs w:val="32"/>
        </w:rPr>
      </w:pPr>
      <w:r>
        <w:rPr>
          <w:rFonts w:eastAsia="仿宋_GB2312"/>
        </w:rPr>
        <w:t xml:space="preserve"> </w:t>
      </w:r>
      <w:r>
        <w:rPr>
          <w:rFonts w:eastAsia="仿宋_GB2312"/>
          <w:spacing w:val="8"/>
          <w:sz w:val="32"/>
          <w:szCs w:val="21"/>
        </w:rPr>
        <w:t>长期以来</w:t>
      </w:r>
      <w:r>
        <w:rPr>
          <w:rFonts w:eastAsia="仿宋_GB2312"/>
          <w:sz w:val="32"/>
          <w:szCs w:val="32"/>
        </w:rPr>
        <w:t>，受各种人为因素的影响，</w:t>
      </w:r>
      <w:r>
        <w:rPr>
          <w:rFonts w:eastAsia="仿宋_GB2312"/>
          <w:spacing w:val="8"/>
          <w:sz w:val="32"/>
          <w:szCs w:val="21"/>
        </w:rPr>
        <w:t>骆马湖水域生态环境质量和水生生物多样性明显下降</w:t>
      </w:r>
      <w:r>
        <w:rPr>
          <w:rFonts w:eastAsia="仿宋_GB2312"/>
          <w:sz w:val="32"/>
          <w:szCs w:val="32"/>
        </w:rPr>
        <w:t>。近年来，通过采取黄砂禁采、禁捕退捕等一系列措施，水域环境质量虽然得到一定程度的改善，但整体还不容乐观，尚未得到根本性的扭转，需要采取更加有效的措施。实践证明，</w:t>
      </w:r>
      <w:r>
        <w:rPr>
          <w:rFonts w:eastAsia="仿宋_GB2312"/>
          <w:spacing w:val="8"/>
          <w:sz w:val="32"/>
          <w:szCs w:val="21"/>
        </w:rPr>
        <w:t>实施禁渔期和水产种质资源保护区全面禁捕</w:t>
      </w:r>
      <w:r>
        <w:rPr>
          <w:rFonts w:eastAsia="仿宋_GB2312"/>
          <w:sz w:val="32"/>
          <w:szCs w:val="32"/>
        </w:rPr>
        <w:t>，</w:t>
      </w:r>
      <w:r>
        <w:rPr>
          <w:rFonts w:eastAsia="仿宋_GB2312"/>
          <w:sz w:val="32"/>
        </w:rPr>
        <w:t>对养护渔业资源，保护和修复渔业生态环境，维护水生生物多样性，促进渔业经济可持续发展等具有重要作用，</w:t>
      </w:r>
      <w:r>
        <w:rPr>
          <w:rFonts w:eastAsia="仿宋_GB2312"/>
          <w:spacing w:val="8"/>
          <w:sz w:val="32"/>
          <w:szCs w:val="21"/>
        </w:rPr>
        <w:t>能够为水生生物的正常繁殖、生长提供一个有利的空间，是</w:t>
      </w:r>
      <w:r>
        <w:rPr>
          <w:rFonts w:eastAsia="仿宋_GB2312"/>
          <w:sz w:val="32"/>
          <w:szCs w:val="32"/>
        </w:rPr>
        <w:t>有效缓解水生生物资源衰退和生物多样性下降危机的关键之举。</w:t>
      </w:r>
    </w:p>
    <w:p>
      <w:pPr>
        <w:spacing w:line="520" w:lineRule="exact"/>
        <w:ind w:firstLineChars="200" w:firstLine="640"/>
        <w:jc w:val="left"/>
        <w:rPr>
          <w:rFonts w:eastAsia="黑体"/>
          <w:sz w:val="32"/>
          <w:szCs w:val="32"/>
        </w:rPr>
      </w:pPr>
      <w:r>
        <w:rPr>
          <w:rFonts w:eastAsia="黑体"/>
          <w:sz w:val="32"/>
          <w:szCs w:val="32"/>
        </w:rPr>
        <w:t>三、制定过程</w:t>
      </w:r>
    </w:p>
    <w:p>
      <w:pPr>
        <w:spacing w:line="520" w:lineRule="exact"/>
        <w:jc w:val="left"/>
        <w:rPr>
          <w:rFonts w:eastAsia="仿宋_GB2312"/>
          <w:sz w:val="32"/>
          <w:szCs w:val="32"/>
        </w:rPr>
      </w:pPr>
      <w:r>
        <w:rPr>
          <w:rFonts w:eastAsia="仿宋_GB2312"/>
          <w:sz w:val="32"/>
          <w:szCs w:val="32"/>
        </w:rPr>
        <w:t xml:space="preserve">    </w:t>
      </w:r>
      <w:r>
        <w:rPr>
          <w:rFonts w:eastAsia="仿宋_GB2312"/>
          <w:sz w:val="32"/>
        </w:rPr>
        <w:t>按照规范性文件制定计划，依据渔业法律法规及相关政策调整变化的实际，</w:t>
      </w:r>
      <w:r>
        <w:rPr>
          <w:rFonts w:eastAsia="仿宋_GB2312"/>
          <w:sz w:val="32"/>
          <w:szCs w:val="32"/>
        </w:rPr>
        <w:t>江苏省骆马湖渔业管理委员会办公室</w:t>
      </w:r>
      <w:r>
        <w:rPr>
          <w:rFonts w:eastAsia="仿宋_GB2312"/>
          <w:sz w:val="32"/>
        </w:rPr>
        <w:t>组织人员于2024年3月起草制定</w:t>
      </w:r>
      <w:r>
        <w:rPr>
          <w:rFonts w:eastAsia="仿宋_GB2312" w:hint="eastAsia"/>
          <w:sz w:val="32"/>
        </w:rPr>
        <w:t>了</w:t>
      </w:r>
      <w:r>
        <w:rPr>
          <w:rFonts w:eastAsia="仿宋_GB2312"/>
          <w:sz w:val="32"/>
        </w:rPr>
        <w:t>《规定》（草案）</w:t>
      </w:r>
      <w:r>
        <w:rPr>
          <w:rFonts w:eastAsia="仿宋_GB2312" w:hint="eastAsia"/>
          <w:sz w:val="32"/>
        </w:rPr>
        <w:t>。</w:t>
      </w:r>
      <w:r>
        <w:rPr>
          <w:rFonts w:eastAsia="仿宋_GB2312"/>
          <w:sz w:val="32"/>
        </w:rPr>
        <w:t>2024年4月26日</w:t>
      </w:r>
      <w:r>
        <w:rPr>
          <w:rFonts w:eastAsia="仿宋_GB2312" w:hint="eastAsia"/>
          <w:sz w:val="32"/>
        </w:rPr>
        <w:t>，又</w:t>
      </w:r>
      <w:r>
        <w:rPr>
          <w:rFonts w:eastAsia="仿宋_GB2312"/>
          <w:sz w:val="32"/>
        </w:rPr>
        <w:t>组织沿湖</w:t>
      </w:r>
      <w:r>
        <w:rPr>
          <w:rFonts w:eastAsia="仿宋_GB2312" w:hint="eastAsia"/>
          <w:sz w:val="32"/>
        </w:rPr>
        <w:t>市、县（区）渔业行政主管部门和</w:t>
      </w:r>
      <w:r>
        <w:rPr>
          <w:rFonts w:eastAsia="仿宋_GB2312"/>
          <w:sz w:val="32"/>
        </w:rPr>
        <w:t>沿湖村（居）干部</w:t>
      </w:r>
      <w:r>
        <w:rPr>
          <w:rFonts w:eastAsia="仿宋_GB2312" w:hint="eastAsia"/>
          <w:sz w:val="32"/>
        </w:rPr>
        <w:t>群众</w:t>
      </w:r>
      <w:r>
        <w:rPr>
          <w:rFonts w:eastAsia="仿宋_GB2312"/>
          <w:sz w:val="32"/>
        </w:rPr>
        <w:t>代表召开征求意见座谈会，</w:t>
      </w:r>
      <w:r>
        <w:rPr>
          <w:rFonts w:eastAsia="仿宋_GB2312" w:hint="eastAsia"/>
          <w:sz w:val="32"/>
        </w:rPr>
        <w:t>并</w:t>
      </w:r>
      <w:r>
        <w:rPr>
          <w:rFonts w:eastAsia="仿宋_GB2312"/>
          <w:sz w:val="32"/>
        </w:rPr>
        <w:t>根据座谈会的意见对《规定》</w:t>
      </w:r>
      <w:r>
        <w:rPr>
          <w:rFonts w:eastAsia="仿宋_GB2312" w:hint="eastAsia"/>
          <w:sz w:val="32"/>
        </w:rPr>
        <w:t>（草案）</w:t>
      </w:r>
      <w:r>
        <w:rPr>
          <w:rFonts w:eastAsia="仿宋_GB2312" w:hint="eastAsia"/>
          <w:sz w:val="32"/>
          <w:lang w:eastAsia="zh-CN"/>
        </w:rPr>
        <w:t>作了</w:t>
      </w:r>
      <w:r>
        <w:rPr>
          <w:rFonts w:eastAsia="仿宋_GB2312"/>
          <w:sz w:val="32"/>
        </w:rPr>
        <w:t>进一步修订完善，形成《规定》（征求意见稿）。</w:t>
      </w:r>
    </w:p>
    <w:p>
      <w:pPr>
        <w:spacing w:line="520" w:lineRule="exact"/>
        <w:ind w:firstLineChars="200" w:firstLine="640"/>
        <w:jc w:val="left"/>
        <w:rPr>
          <w:rFonts w:eastAsia="黑体"/>
          <w:sz w:val="32"/>
          <w:szCs w:val="32"/>
        </w:rPr>
      </w:pPr>
      <w:r>
        <w:rPr>
          <w:rFonts w:eastAsia="黑体"/>
          <w:sz w:val="32"/>
          <w:szCs w:val="32"/>
        </w:rPr>
        <w:t>四、制订依据</w:t>
      </w:r>
    </w:p>
    <w:p>
      <w:pPr>
        <w:spacing w:line="520" w:lineRule="exact"/>
        <w:ind w:firstLineChars="200" w:firstLine="640"/>
        <w:jc w:val="left"/>
        <w:rPr>
          <w:rFonts w:eastAsia="仿宋_GB2312"/>
          <w:sz w:val="32"/>
          <w:szCs w:val="32"/>
        </w:rPr>
      </w:pPr>
      <w:r>
        <w:rPr>
          <w:rFonts w:eastAsia="仿宋_GB2312"/>
          <w:sz w:val="32"/>
          <w:szCs w:val="32"/>
        </w:rPr>
        <w:t>《中华人民共和国渔业法》</w:t>
      </w:r>
    </w:p>
    <w:p>
      <w:pPr>
        <w:spacing w:line="520" w:lineRule="exact"/>
        <w:ind w:firstLineChars="200" w:firstLine="640"/>
        <w:jc w:val="left"/>
        <w:rPr>
          <w:rFonts w:eastAsia="仿宋_GB2312"/>
          <w:sz w:val="32"/>
          <w:szCs w:val="32"/>
        </w:rPr>
      </w:pPr>
      <w:r>
        <w:rPr>
          <w:rFonts w:eastAsia="仿宋_GB2312"/>
          <w:sz w:val="32"/>
          <w:szCs w:val="32"/>
        </w:rPr>
        <w:t>《中华人民共和国渔业法实施细则》</w:t>
      </w:r>
    </w:p>
    <w:p>
      <w:pPr>
        <w:spacing w:line="520" w:lineRule="exact"/>
        <w:ind w:firstLineChars="200" w:firstLine="640"/>
        <w:jc w:val="left"/>
        <w:rPr>
          <w:rFonts w:eastAsia="仿宋_GB2312"/>
          <w:sz w:val="32"/>
          <w:szCs w:val="32"/>
        </w:rPr>
      </w:pPr>
      <w:r>
        <w:rPr>
          <w:rFonts w:eastAsia="仿宋_GB2312"/>
          <w:sz w:val="32"/>
          <w:szCs w:val="32"/>
        </w:rPr>
        <w:t>《中华人民共和国野生动物保护法》</w:t>
      </w:r>
    </w:p>
    <w:p>
      <w:pPr>
        <w:spacing w:line="520" w:lineRule="exact"/>
        <w:ind w:firstLineChars="200" w:firstLine="640"/>
        <w:jc w:val="left"/>
        <w:rPr>
          <w:rFonts w:eastAsia="仿宋_GB2312"/>
          <w:sz w:val="32"/>
          <w:szCs w:val="32"/>
        </w:rPr>
      </w:pPr>
      <w:r>
        <w:rPr>
          <w:rFonts w:eastAsia="仿宋_GB2312"/>
          <w:sz w:val="32"/>
        </w:rPr>
        <w:t>《中国水生生物资源养护行动纲要》</w:t>
      </w:r>
    </w:p>
    <w:p>
      <w:pPr>
        <w:spacing w:line="520" w:lineRule="exact"/>
        <w:ind w:firstLineChars="200" w:firstLine="640"/>
        <w:jc w:val="left"/>
        <w:rPr>
          <w:rFonts w:eastAsia="仿宋_GB2312"/>
          <w:sz w:val="32"/>
          <w:szCs w:val="32"/>
        </w:rPr>
      </w:pPr>
      <w:r>
        <w:rPr>
          <w:rFonts w:eastAsia="仿宋_GB2312"/>
          <w:sz w:val="32"/>
          <w:szCs w:val="32"/>
        </w:rPr>
        <w:t>《江苏省渔业管理条例》</w:t>
      </w:r>
    </w:p>
    <w:p>
      <w:pPr>
        <w:spacing w:line="520" w:lineRule="exact"/>
        <w:ind w:firstLineChars="200" w:firstLine="640"/>
        <w:jc w:val="left"/>
        <w:rPr>
          <w:rFonts w:eastAsia="仿宋_GB2312"/>
          <w:sz w:val="32"/>
          <w:szCs w:val="32"/>
        </w:rPr>
      </w:pPr>
      <w:r>
        <w:rPr>
          <w:rFonts w:eastAsia="仿宋_GB2312"/>
          <w:sz w:val="32"/>
          <w:szCs w:val="32"/>
        </w:rPr>
        <w:t>《农业农村部关于长江流域重点水域禁捕范围和时间的通告》（农业农村部〔2019〕）4号）</w:t>
      </w:r>
    </w:p>
    <w:p>
      <w:pPr>
        <w:spacing w:line="520" w:lineRule="exact"/>
        <w:ind w:firstLineChars="200" w:firstLine="640"/>
        <w:jc w:val="left"/>
        <w:rPr>
          <w:rFonts w:eastAsia="仿宋_GB2312"/>
          <w:sz w:val="32"/>
          <w:szCs w:val="32"/>
        </w:rPr>
      </w:pPr>
      <w:r>
        <w:rPr>
          <w:rFonts w:eastAsia="仿宋_GB2312"/>
          <w:sz w:val="32"/>
          <w:szCs w:val="32"/>
        </w:rPr>
        <w:t>《省政府印发关于全面推进我省长江流域禁捕退捕工作实施方案的通知》（苏政发〔2020〕）58号）</w:t>
      </w:r>
    </w:p>
    <w:p>
      <w:pPr>
        <w:spacing w:line="520" w:lineRule="exact"/>
        <w:ind w:firstLineChars="200" w:firstLine="640"/>
        <w:jc w:val="left"/>
        <w:rPr>
          <w:rFonts w:eastAsia="黑体"/>
          <w:sz w:val="32"/>
          <w:szCs w:val="32"/>
        </w:rPr>
      </w:pPr>
      <w:r>
        <w:rPr>
          <w:rFonts w:eastAsia="黑体"/>
          <w:sz w:val="32"/>
          <w:szCs w:val="32"/>
        </w:rPr>
        <w:t>五、制定主要内容</w:t>
      </w:r>
    </w:p>
    <w:p>
      <w:pPr>
        <w:spacing w:line="520" w:lineRule="exact"/>
        <w:ind w:firstLineChars="200" w:firstLine="640"/>
        <w:jc w:val="left"/>
        <w:rPr>
          <w:rFonts w:eastAsia="仿宋_GB2312"/>
          <w:sz w:val="32"/>
          <w:szCs w:val="32"/>
        </w:rPr>
      </w:pPr>
      <w:r>
        <w:rPr>
          <w:rFonts w:eastAsia="仿宋_GB2312"/>
          <w:sz w:val="32"/>
          <w:szCs w:val="32"/>
        </w:rPr>
        <w:t>《规定》共十</w:t>
      </w:r>
      <w:r>
        <w:rPr>
          <w:rFonts w:eastAsia="仿宋_GB2312" w:hint="eastAsia"/>
          <w:sz w:val="32"/>
          <w:szCs w:val="32"/>
        </w:rPr>
        <w:t>一</w:t>
      </w:r>
      <w:r>
        <w:rPr>
          <w:rFonts w:eastAsia="仿宋_GB2312"/>
          <w:sz w:val="32"/>
          <w:szCs w:val="32"/>
        </w:rPr>
        <w:t>条，对适用范围、职责分工、禁渔制度、禁用渔具渔法、养殖管理、捕捞管理、生物安全、损害赔偿、处罚措施</w:t>
      </w:r>
      <w:r>
        <w:rPr>
          <w:rFonts w:eastAsia="仿宋_GB2312" w:hint="eastAsia"/>
          <w:sz w:val="32"/>
          <w:szCs w:val="32"/>
        </w:rPr>
        <w:t>、实施时间</w:t>
      </w:r>
      <w:r>
        <w:rPr>
          <w:rFonts w:eastAsia="仿宋_GB2312"/>
          <w:sz w:val="32"/>
          <w:szCs w:val="32"/>
        </w:rPr>
        <w:t>等进行了规范，主要包括以下内容：</w:t>
      </w:r>
    </w:p>
    <w:p>
      <w:pPr>
        <w:spacing w:line="520" w:lineRule="exact"/>
        <w:ind w:firstLineChars="200" w:firstLine="640"/>
        <w:jc w:val="left"/>
        <w:rPr>
          <w:rFonts w:ascii="楷体_GB2312" w:eastAsia="楷体_GB2312" w:hint="eastAsia"/>
          <w:sz w:val="32"/>
          <w:szCs w:val="32"/>
        </w:rPr>
      </w:pPr>
      <w:r>
        <w:rPr>
          <w:rFonts w:ascii="楷体_GB2312" w:eastAsia="楷体_GB2312" w:hint="eastAsia"/>
          <w:sz w:val="32"/>
          <w:szCs w:val="32"/>
        </w:rPr>
        <w:t>（一）关于适用范围</w:t>
      </w:r>
    </w:p>
    <w:p>
      <w:pPr>
        <w:spacing w:line="520" w:lineRule="exact"/>
        <w:ind w:firstLineChars="200" w:firstLine="640"/>
        <w:jc w:val="left"/>
        <w:rPr>
          <w:rFonts w:eastAsia="仿宋_GB2312"/>
          <w:sz w:val="32"/>
          <w:szCs w:val="32"/>
        </w:rPr>
      </w:pPr>
      <w:r>
        <w:rPr>
          <w:rFonts w:eastAsia="仿宋_GB2312"/>
          <w:sz w:val="32"/>
          <w:szCs w:val="32"/>
        </w:rPr>
        <w:t>明确在骆马湖从事渔业生产以及相关活动的单位和个人，应当遵守本《规定》，并明确禁渔范围包括骆马湖及与其相连的湖荡、湖湾、湿地</w:t>
      </w:r>
      <w:r>
        <w:rPr>
          <w:rFonts w:eastAsia="仿宋_GB2312" w:hint="eastAsia"/>
          <w:sz w:val="32"/>
          <w:szCs w:val="32"/>
          <w:lang w:eastAsia="zh-CN"/>
        </w:rPr>
        <w:t>及其</w:t>
      </w:r>
      <w:r>
        <w:rPr>
          <w:rFonts w:eastAsia="仿宋_GB2312"/>
          <w:sz w:val="32"/>
          <w:szCs w:val="32"/>
        </w:rPr>
        <w:t>四至范围。</w:t>
      </w:r>
    </w:p>
    <w:p>
      <w:pPr>
        <w:spacing w:line="520" w:lineRule="exact"/>
        <w:ind w:firstLineChars="200" w:firstLine="640"/>
        <w:jc w:val="left"/>
        <w:rPr>
          <w:rFonts w:ascii="楷体_GB2312" w:eastAsia="楷体_GB2312" w:hint="eastAsia"/>
          <w:sz w:val="32"/>
          <w:szCs w:val="32"/>
        </w:rPr>
      </w:pPr>
      <w:r>
        <w:rPr>
          <w:rFonts w:ascii="楷体_GB2312" w:eastAsia="楷体_GB2312"/>
          <w:sz w:val="32"/>
          <w:szCs w:val="32"/>
        </w:rPr>
        <w:t>（二）关于职责分工</w:t>
      </w:r>
    </w:p>
    <w:p>
      <w:pPr>
        <w:spacing w:line="520" w:lineRule="exact"/>
        <w:ind w:firstLineChars="200" w:firstLine="640"/>
        <w:jc w:val="left"/>
        <w:rPr>
          <w:rFonts w:eastAsia="仿宋_GB2312"/>
          <w:sz w:val="32"/>
          <w:szCs w:val="32"/>
        </w:rPr>
      </w:pPr>
      <w:r>
        <w:rPr>
          <w:rFonts w:eastAsia="仿宋_GB2312"/>
          <w:sz w:val="32"/>
          <w:szCs w:val="32"/>
        </w:rPr>
        <w:t>明确江苏省骆马湖渔业管理委员会办公室负责骆马湖渔业管理工作；沿湖设区的市、县（市、区）渔业行政主管部门按照各自职责，协同做好相关工作。</w:t>
      </w:r>
    </w:p>
    <w:p>
      <w:pPr>
        <w:spacing w:line="520" w:lineRule="exact"/>
        <w:ind w:firstLineChars="200" w:firstLine="640"/>
        <w:jc w:val="left"/>
        <w:rPr>
          <w:rFonts w:ascii="楷体_GB2312" w:eastAsia="楷体_GB2312" w:hint="eastAsia"/>
          <w:sz w:val="32"/>
          <w:szCs w:val="32"/>
        </w:rPr>
      </w:pPr>
      <w:r>
        <w:rPr>
          <w:rFonts w:ascii="楷体_GB2312" w:eastAsia="楷体_GB2312"/>
          <w:sz w:val="32"/>
          <w:szCs w:val="32"/>
        </w:rPr>
        <w:t>（三）关于禁渔制度</w:t>
      </w:r>
    </w:p>
    <w:p>
      <w:pPr>
        <w:spacing w:line="520" w:lineRule="exact"/>
        <w:ind w:firstLineChars="200" w:firstLine="640"/>
        <w:jc w:val="left"/>
        <w:rPr>
          <w:rFonts w:eastAsia="仿宋_GB2312"/>
          <w:sz w:val="32"/>
          <w:szCs w:val="32"/>
        </w:rPr>
      </w:pPr>
      <w:r>
        <w:rPr>
          <w:rFonts w:eastAsia="仿宋_GB2312"/>
          <w:sz w:val="32"/>
          <w:szCs w:val="32"/>
        </w:rPr>
        <w:t>根据水产种质资源保护区管理的最新规定，明确2个国家级水产种质资源保护区全面禁捕。禁渔范围</w:t>
      </w:r>
      <w:r>
        <w:rPr>
          <w:rFonts w:eastAsia="仿宋_GB2312" w:hint="eastAsia"/>
          <w:sz w:val="32"/>
          <w:szCs w:val="32"/>
          <w:lang w:eastAsia="zh-CN"/>
        </w:rPr>
        <w:t>内</w:t>
      </w:r>
      <w:r>
        <w:rPr>
          <w:rFonts w:eastAsia="仿宋_GB2312"/>
          <w:sz w:val="32"/>
          <w:szCs w:val="32"/>
        </w:rPr>
        <w:t>禁渔期为5个月，时间为每年的2月1日0时起至6月30日24时止。</w:t>
      </w:r>
    </w:p>
    <w:p>
      <w:pPr>
        <w:spacing w:line="520" w:lineRule="exact"/>
        <w:ind w:firstLineChars="200" w:firstLine="640"/>
        <w:jc w:val="left"/>
        <w:rPr>
          <w:rFonts w:ascii="楷体_GB2312" w:eastAsia="楷体_GB2312"/>
          <w:sz w:val="32"/>
          <w:szCs w:val="32"/>
        </w:rPr>
      </w:pPr>
      <w:r>
        <w:rPr>
          <w:rFonts w:ascii="楷体_GB2312" w:eastAsia="楷体_GB2312"/>
          <w:sz w:val="32"/>
          <w:szCs w:val="32"/>
        </w:rPr>
        <w:t>（四）关于禁用渔具渔法</w:t>
      </w:r>
    </w:p>
    <w:p>
      <w:pPr>
        <w:spacing w:line="520" w:lineRule="exact"/>
        <w:ind w:leftChars="304" w:left="638"/>
        <w:jc w:val="left"/>
        <w:rPr>
          <w:rFonts w:eastAsia="仿宋_GB2312"/>
          <w:sz w:val="32"/>
          <w:szCs w:val="32"/>
        </w:rPr>
      </w:pPr>
      <w:r>
        <w:rPr>
          <w:rFonts w:eastAsia="仿宋_GB2312"/>
          <w:sz w:val="32"/>
          <w:szCs w:val="32"/>
        </w:rPr>
        <w:t>制定《骆马湖禁用渔具名录》，明确7类16种禁用渔具</w:t>
      </w:r>
      <w:r>
        <w:rPr>
          <w:rFonts w:eastAsia="仿宋_GB2312" w:hint="eastAsia"/>
          <w:sz w:val="32"/>
          <w:szCs w:val="32"/>
        </w:rPr>
        <w:t>。</w:t>
      </w:r>
      <w:r>
        <w:rPr>
          <w:rFonts w:ascii="楷体_GB2312" w:eastAsia="楷体_GB2312"/>
          <w:sz w:val="32"/>
          <w:szCs w:val="32"/>
        </w:rPr>
        <w:t>（五）关于养殖管理</w:t>
      </w:r>
    </w:p>
    <w:p>
      <w:pPr>
        <w:spacing w:line="520" w:lineRule="exact"/>
        <w:ind w:firstLineChars="200" w:firstLine="640"/>
        <w:jc w:val="left"/>
        <w:rPr>
          <w:rFonts w:eastAsia="仿宋_GB2312"/>
          <w:bCs/>
          <w:sz w:val="32"/>
          <w:szCs w:val="32"/>
        </w:rPr>
      </w:pPr>
      <w:r>
        <w:rPr>
          <w:rFonts w:eastAsia="仿宋_GB2312"/>
          <w:bCs/>
          <w:sz w:val="32"/>
          <w:szCs w:val="32"/>
        </w:rPr>
        <w:t>明确养殖生产应科学使用投入品，禁止电力清塘和药物清塘。</w:t>
      </w:r>
    </w:p>
    <w:p>
      <w:pPr>
        <w:spacing w:line="520" w:lineRule="exact"/>
        <w:ind w:firstLineChars="200" w:firstLine="640"/>
        <w:jc w:val="left"/>
        <w:rPr>
          <w:rFonts w:ascii="楷体_GB2312" w:eastAsia="楷体_GB2312"/>
          <w:sz w:val="32"/>
          <w:szCs w:val="32"/>
        </w:rPr>
      </w:pPr>
      <w:r>
        <w:rPr>
          <w:rFonts w:ascii="楷体_GB2312" w:eastAsia="楷体_GB2312"/>
          <w:sz w:val="32"/>
          <w:szCs w:val="32"/>
        </w:rPr>
        <w:t>（六）关于捕捞管理</w:t>
      </w:r>
    </w:p>
    <w:p>
      <w:pPr>
        <w:spacing w:line="520" w:lineRule="exact"/>
        <w:ind w:firstLine="640"/>
        <w:jc w:val="left"/>
        <w:rPr>
          <w:rStyle w:val="17"/>
          <w:rFonts w:ascii="Times New Roman" w:eastAsia="仿宋_GB2312" w:hAnsi="Times New Roman" w:hint="eastAsia"/>
          <w:sz w:val="32"/>
          <w:szCs w:val="32"/>
        </w:rPr>
      </w:pPr>
      <w:r>
        <w:rPr>
          <w:rFonts w:eastAsia="仿宋_GB2312"/>
          <w:bCs/>
          <w:sz w:val="32"/>
          <w:szCs w:val="32"/>
        </w:rPr>
        <w:t>明确</w:t>
      </w:r>
      <w:r>
        <w:rPr>
          <w:rStyle w:val="17"/>
          <w:rFonts w:ascii="Times New Roman" w:eastAsia="仿宋_GB2312" w:hAnsi="Times New Roman"/>
          <w:sz w:val="32"/>
          <w:szCs w:val="32"/>
        </w:rPr>
        <w:t>因教学、科研等特殊需要捕捞渔业资源的应申请专项（特许）捕捞许可证。</w:t>
      </w:r>
    </w:p>
    <w:p>
      <w:pPr>
        <w:spacing w:line="520" w:lineRule="exact"/>
        <w:ind w:firstLine="640"/>
        <w:jc w:val="left"/>
        <w:rPr>
          <w:rFonts w:ascii="楷体_GB2312" w:eastAsia="楷体_GB2312"/>
          <w:sz w:val="32"/>
          <w:szCs w:val="32"/>
        </w:rPr>
      </w:pPr>
      <w:r>
        <w:rPr>
          <w:rFonts w:ascii="楷体_GB2312" w:eastAsia="楷体_GB2312" w:hint="eastAsia"/>
          <w:sz w:val="32"/>
          <w:szCs w:val="32"/>
        </w:rPr>
        <w:t>（七）</w:t>
      </w:r>
      <w:r>
        <w:rPr>
          <w:rFonts w:ascii="楷体_GB2312" w:eastAsia="楷体_GB2312"/>
          <w:sz w:val="32"/>
          <w:szCs w:val="32"/>
        </w:rPr>
        <w:t>关于生物安全</w:t>
      </w:r>
    </w:p>
    <w:p>
      <w:pPr>
        <w:spacing w:line="520" w:lineRule="exact"/>
        <w:jc w:val="left"/>
        <w:rPr>
          <w:rFonts w:eastAsia="仿宋_GB2312"/>
          <w:sz w:val="32"/>
          <w:szCs w:val="32"/>
        </w:rPr>
      </w:pPr>
      <w:r>
        <w:rPr>
          <w:rStyle w:val="17"/>
          <w:rFonts w:ascii="Times New Roman" w:eastAsia="仿宋_GB2312" w:hAnsi="Times New Roman"/>
          <w:sz w:val="32"/>
          <w:szCs w:val="32"/>
        </w:rPr>
        <w:t xml:space="preserve">    </w:t>
      </w:r>
      <w:r>
        <w:rPr>
          <w:rFonts w:eastAsia="仿宋_GB2312"/>
          <w:sz w:val="32"/>
          <w:szCs w:val="32"/>
        </w:rPr>
        <w:t xml:space="preserve"> 明确任何单位和个人未经批准，不得擅自引进、释放或者丢弃外来物种。</w:t>
      </w:r>
    </w:p>
    <w:p>
      <w:pPr>
        <w:spacing w:line="520" w:lineRule="exact"/>
        <w:ind w:firstLine="640"/>
        <w:jc w:val="left"/>
        <w:rPr>
          <w:rFonts w:ascii="楷体_GB2312" w:eastAsia="楷体_GB2312"/>
          <w:sz w:val="32"/>
          <w:szCs w:val="32"/>
        </w:rPr>
      </w:pPr>
      <w:r>
        <w:rPr>
          <w:rFonts w:ascii="楷体_GB2312" w:eastAsia="楷体_GB2312"/>
          <w:sz w:val="32"/>
          <w:szCs w:val="32"/>
        </w:rPr>
        <w:t>（八）关于损害赔偿</w:t>
      </w:r>
    </w:p>
    <w:p>
      <w:pPr>
        <w:spacing w:line="520" w:lineRule="exact"/>
        <w:ind w:leftChars="200" w:left="420"/>
        <w:jc w:val="left"/>
        <w:rPr>
          <w:rFonts w:eastAsia="仿宋_GB2312"/>
          <w:sz w:val="32"/>
          <w:szCs w:val="32"/>
          <w:shd w:val="clear" w:color="auto" w:fill="FFFFFF"/>
        </w:rPr>
      </w:pPr>
      <w:r>
        <w:rPr>
          <w:rFonts w:eastAsia="仿宋_GB2312"/>
          <w:sz w:val="32"/>
          <w:szCs w:val="32"/>
        </w:rPr>
        <w:t xml:space="preserve">  明确因水工建设等</w:t>
      </w:r>
      <w:r>
        <w:rPr>
          <w:rFonts w:eastAsia="仿宋_GB2312"/>
          <w:sz w:val="32"/>
          <w:szCs w:val="32"/>
          <w:shd w:val="clear" w:color="auto" w:fill="FFFFFF"/>
        </w:rPr>
        <w:t>对渔业资源造成损失的，应当予以赔偿。</w:t>
      </w:r>
    </w:p>
    <w:p>
      <w:pPr>
        <w:spacing w:line="520" w:lineRule="exact"/>
        <w:ind w:firstLine="640"/>
        <w:jc w:val="left"/>
        <w:rPr>
          <w:rFonts w:ascii="楷体_GB2312" w:eastAsia="楷体_GB2312"/>
          <w:sz w:val="32"/>
          <w:szCs w:val="32"/>
        </w:rPr>
      </w:pPr>
      <w:r>
        <w:rPr>
          <w:rFonts w:ascii="楷体_GB2312" w:eastAsia="楷体_GB2312"/>
          <w:sz w:val="32"/>
          <w:szCs w:val="32"/>
        </w:rPr>
        <w:t>（九）关于处罚措施</w:t>
      </w:r>
    </w:p>
    <w:p>
      <w:pPr>
        <w:spacing w:line="520" w:lineRule="exact"/>
        <w:ind w:firstLineChars="200" w:firstLine="640"/>
        <w:jc w:val="left"/>
        <w:rPr>
          <w:rFonts w:eastAsia="仿宋_GB2312"/>
          <w:sz w:val="32"/>
          <w:szCs w:val="32"/>
          <w:shd w:val="clear" w:color="auto" w:fill="FFFFFF"/>
        </w:rPr>
      </w:pPr>
      <w:r>
        <w:rPr>
          <w:rFonts w:eastAsia="仿宋_GB2312"/>
          <w:sz w:val="32"/>
          <w:szCs w:val="32"/>
          <w:shd w:val="clear" w:color="auto" w:fill="FFFFFF"/>
        </w:rPr>
        <w:t>明确</w:t>
      </w:r>
      <w:r>
        <w:rPr>
          <w:rFonts w:eastAsia="仿宋_GB2312"/>
          <w:sz w:val="32"/>
          <w:szCs w:val="32"/>
        </w:rPr>
        <w:t>对违反渔业法律法规和本</w:t>
      </w:r>
      <w:r>
        <w:rPr>
          <w:rFonts w:eastAsia="仿宋_GB2312" w:hint="eastAsia"/>
          <w:sz w:val="32"/>
          <w:szCs w:val="32"/>
          <w:lang w:eastAsia="zh-CN"/>
        </w:rPr>
        <w:t>《</w:t>
      </w:r>
      <w:r>
        <w:rPr>
          <w:rFonts w:eastAsia="仿宋_GB2312"/>
          <w:sz w:val="32"/>
          <w:szCs w:val="32"/>
        </w:rPr>
        <w:t>规定</w:t>
      </w:r>
      <w:r>
        <w:rPr>
          <w:rFonts w:eastAsia="仿宋_GB2312" w:hint="eastAsia"/>
          <w:sz w:val="32"/>
          <w:szCs w:val="32"/>
          <w:lang w:eastAsia="zh-CN"/>
        </w:rPr>
        <w:t>》</w:t>
      </w:r>
      <w:r>
        <w:rPr>
          <w:rFonts w:eastAsia="仿宋_GB2312"/>
          <w:sz w:val="32"/>
          <w:szCs w:val="32"/>
        </w:rPr>
        <w:t>的单位和个人，</w:t>
      </w:r>
      <w:r>
        <w:rPr>
          <w:rFonts w:eastAsia="仿宋_GB2312"/>
          <w:sz w:val="32"/>
          <w:szCs w:val="32"/>
          <w:shd w:val="clear" w:color="auto" w:fill="FFFFFF"/>
        </w:rPr>
        <w:t>按照相关法律法规给予处罚。</w:t>
      </w:r>
    </w:p>
    <w:p>
      <w:pPr>
        <w:spacing w:line="520" w:lineRule="exact"/>
        <w:ind w:firstLine="640"/>
        <w:jc w:val="left"/>
        <w:rPr>
          <w:rFonts w:ascii="楷体_GB2312" w:eastAsia="楷体_GB2312"/>
          <w:sz w:val="32"/>
          <w:szCs w:val="32"/>
        </w:rPr>
      </w:pPr>
      <w:r>
        <w:rPr>
          <w:rFonts w:ascii="楷体_GB2312" w:eastAsia="楷体_GB2312"/>
          <w:sz w:val="32"/>
          <w:szCs w:val="32"/>
        </w:rPr>
        <w:t>（十）关于实施时间</w:t>
      </w:r>
    </w:p>
    <w:p>
      <w:pPr>
        <w:spacing w:line="520" w:lineRule="exact"/>
        <w:ind w:firstLineChars="200" w:firstLine="640"/>
        <w:jc w:val="left"/>
        <w:rPr>
          <w:rFonts w:eastAsia="仿宋_GB2312"/>
        </w:rPr>
      </w:pPr>
      <w:r>
        <w:rPr>
          <w:rFonts w:eastAsia="仿宋_GB2312"/>
          <w:sz w:val="32"/>
          <w:szCs w:val="32"/>
        </w:rPr>
        <w:t>明确本《规定》自发布之日实施，期限五年。</w:t>
      </w:r>
      <w:r>
        <w:rPr>
          <w:rFonts w:eastAsia="仿宋_GB2312" w:hint="eastAsia"/>
          <w:sz w:val="32"/>
          <w:szCs w:val="32"/>
          <w:lang w:val="en-US" w:eastAsia="zh-CN"/>
        </w:rPr>
        <w:t>2017年制定的</w:t>
      </w:r>
      <w:r>
        <w:rPr>
          <w:rFonts w:eastAsia="仿宋_GB2312"/>
          <w:sz w:val="32"/>
          <w:szCs w:val="32"/>
        </w:rPr>
        <w:t>《江苏省骆马湖封湖禁渔通告》（苏</w:t>
      </w:r>
      <w:bookmarkStart w:id="0" w:name="_GoBack"/>
      <w:bookmarkEnd w:id="0"/>
      <w:r>
        <w:rPr>
          <w:rFonts w:eastAsia="仿宋_GB2312"/>
          <w:sz w:val="32"/>
          <w:szCs w:val="32"/>
        </w:rPr>
        <w:t>海规〔2017〕4号）同时废止。</w:t>
      </w:r>
    </w:p>
    <w:sectPr>
      <w:footerReference w:type="default" r:id="rId2"/>
      <w:pgSz w:w="11906" w:h="16838"/>
      <w:pgMar w:top="1440" w:right="1800" w:bottom="1440" w:left="1800"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方正小标宋_GBK">
    <w:altName w:val="微软雅黑"/>
    <w:panose1 w:val="03000509000000000000"/>
    <w:charset w:val="86"/>
    <w:family w:val="auto"/>
    <w:pitch w:val="variable"/>
    <w:sig w:usb0="00000000" w:usb1="00000000" w:usb2="00000000" w:usb3="00000000" w:csb0="00040000" w:csb1="00000000"/>
  </w:font>
  <w:font w:name="方正小标宋简体">
    <w:altName w:val="方正舒体"/>
    <w:panose1 w:val="03000509000000000000"/>
    <w:charset w:val="86"/>
    <w:family w:val="auto"/>
    <w:pitch w:val="variable"/>
    <w:sig w:usb0="00000000" w:usb1="00000000" w:usb2="00000012" w:usb3="00000000" w:csb0="00040001" w:csb1="00000000"/>
  </w:font>
  <w:font w:name="仿宋_GB2312">
    <w:altName w:val="仿宋"/>
    <w:panose1 w:val="02010609030101010101"/>
    <w:charset w:val="86"/>
    <w:family w:val="modern"/>
    <w:pitch w:val="variable"/>
    <w:sig w:usb0="00000000" w:usb1="00000000" w:usb2="00000000" w:usb3="00000000" w:csb0="00040000" w:csb1="00000000"/>
  </w:font>
  <w:font w:name="黑体">
    <w:altName w:val="方正黑体_GBK"/>
    <w:panose1 w:val="02010609060101010101"/>
    <w:charset w:val="86"/>
    <w:family w:val="auto"/>
    <w:pitch w:val="variable"/>
    <w:sig w:usb0="800002BF" w:usb1="38CF7CFA" w:usb2="00000016" w:usb3="00000000" w:csb0="00040001" w:csb1="00000000"/>
  </w:font>
  <w:font w:name="楷体_GB2312">
    <w:altName w:val="楷体"/>
    <w:panose1 w:val="02010609030101010101"/>
    <w:charset w:val="86"/>
    <w:family w:val="modern"/>
    <w:pitch w:val="variable"/>
    <w:sig w:usb0="00000000" w:usb1="00000000" w:usb2="00000000" w:usb3="00000000" w:csb0="00040000" w:csb1="00000000"/>
  </w:font>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variable"/>
    <w:sig w:usb0="00000203" w:usb1="288F0000" w:usb2="00000006" w:usb3="00000000" w:csb0="00040001" w:csb1="00000000"/>
  </w:font>
  <w:font w:name="Luxi Sans">
    <w:altName w:val="DejaVu Sans"/>
    <w:panose1 w:val="00000000000000000000"/>
    <w:charset w:val="00"/>
    <w:family w:val="auto"/>
    <w:pitch w:val="variable"/>
    <w:sig w:usb0="00000000" w:usb1="00000000" w:usb2="00000000" w:usb3="00000000" w:csb0="00000000" w:csb1="00000000"/>
  </w:font>
  <w:font w:name="Arial">
    <w:altName w:val="DejaVu Sans"/>
    <w:panose1 w:val="020B0604020202020204"/>
    <w:charset w:val="01"/>
    <w:family w:val="swiss"/>
    <w:pitch w:val="variable"/>
    <w:sig w:usb0="E0002EFF" w:usb1="C000785B" w:usb2="00000009" w:usb3="00000000" w:csb0="400001FF" w:csb1="FFFF0000"/>
  </w:font>
  <w:font w:name="Calibri">
    <w:altName w:val="Times New Roman"/>
    <w:panose1 w:val="020F0502020204030204"/>
    <w:charset w:val="00"/>
    <w:family w:val="swiss"/>
    <w:pitch w:val="variable"/>
    <w:sig w:usb0="E4002EFF" w:usb1="C000247B" w:usb2="00000009" w:usb3="00000000" w:csb0="200001F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jc w:val="center"/>
    </w:pPr>
    <w:r>
      <mc:AlternateContent>
        <mc:Choice Requires="wps">
          <w:drawing>
            <wp:anchor distT="0" distB="0" distL="114298" distR="114298" simplePos="0" relativeHeight="12" behindDoc="0" locked="0" layoutInCell="1" hidden="0" allowOverlap="1">
              <wp:simplePos x="0" y="0"/>
              <wp:positionH relativeFrom="margin">
                <wp:align>center</wp:align>
              </wp:positionH>
              <wp:positionV relativeFrom="paragraph">
                <wp:posOffset>0</wp:posOffset>
              </wp:positionV>
              <wp:extent cx="463550" cy="204647"/>
              <wp:effectExtent l="0" t="0" r="0" b="0"/>
              <wp:wrapNone/>
              <wp:docPr id="1" name="文本框 1"/>
              <wp:cNvGraphicFramePr>
                <a:graphicFrameLocks noChangeAspect="0"/>
              </wp:cNvGraphicFramePr>
              <a:graphic>
                <a:graphicData uri="http://schemas.microsoft.com/office/word/2010/wordprocessingShape">
                  <wps:wsp>
                    <wps:cNvSpPr/>
                    <wps:spPr>
                      <a:xfrm rot="0">
                        <a:off x="0" y="0"/>
                        <a:ext cx="463550" cy="204647"/>
                      </a:xfrm>
                      <a:prstGeom prst="rect"/>
                      <a:noFill/>
                      <a:ln w="9525" cmpd="sng" cap="flat">
                        <a:noFill/>
                        <a:prstDash val="solid"/>
                        <a:round/>
                      </a:ln>
                    </wps:spPr>
                    <wps:txbx id="2">
                      <w:txbxContent>
                        <w:p>
                          <w:pPr>
                            <w:pStyle w:val="15"/>
                            <w:tabs>
                              <w:tab w:val="center" w:pos="4153"/>
                              <w:tab w:val="right" w:pos="8306"/>
                            </w:tabs>
                            <w:jc w:val="center"/>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r>
                            <w:t>—</w:t>
                          </w:r>
                        </w:p>
                      </w:txbxContent>
                    </wps:txbx>
                    <wps:bodyPr vert="horz" wrap="none" lIns="0" tIns="0" rIns="0" bIns="0" anchor="t" anchorCtr="0" upright="0">
                      <a:spAutoFit/>
                    </wps:bodyPr>
                  </wps:wsp>
                </a:graphicData>
              </a:graphic>
            </wp:anchor>
          </w:drawing>
        </mc:Choice>
        <mc:Fallback>
          <w:pict>
            <v:shape type="#_x0000_t202" id="文本框 1 3" o:spid="_x0000_s3" filled="f" stroked="f" style="position:absolute;margin-left:0.0pt;margin-top:0.0pt;width:36.500008pt;height:16.113997pt;z-index:12;mso-position-horizontal:center;mso-position-horizontal-relative:margin;mso-position-vertical:absolute;mso-wrap-distance-left:8.999863pt;mso-wrap-distance-right:8.999863pt;mso-wrap-style:none;">
              <v:stroke color="#000000"/>
              <v:textbox id="848" inset="0mm,0mm,0mm,0mm" o:insetmode="custom" style="layout-flow:horizontal;v-text-anchor:top;mso-fit-shape-to-text:t;">
                <w:txbxContent>
                  <w:p>
                    <w:pPr>
                      <w:pStyle w:val="15"/>
                      <w:tabs>
                        <w:tab w:val="center" w:pos="4153"/>
                        <w:tab w:val="right" w:pos="8306"/>
                      </w:tabs>
                      <w:jc w:val="center"/>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4</w:t>
                    </w:r>
                    <w:r>
                      <w:rPr>
                        <w:sz w:val="28"/>
                        <w:szCs w:val="28"/>
                      </w:rPr>
                      <w:fldChar w:fldCharType="end"/>
                    </w:r>
                    <w:r>
                      <w:rPr>
                        <w:sz w:val="28"/>
                        <w:szCs w:val="28"/>
                      </w:rPr>
                      <w:t xml:space="preserve"> </w:t>
                    </w:r>
                    <w:r>
                      <w:t>—</w:t>
                    </w:r>
                  </w:p>
                </w:txbxContent>
              </v:textbox>
            </v:shape>
          </w:pict>
        </mc:Fallback>
      </mc:AlternateContent>
    </w:r>
  </w:p>
  <w:p>
    <w:pPr>
      <w:pStyle w:val="15"/>
      <w:tabs>
        <w:tab w:val="center" w:pos="4153"/>
        <w:tab w:val="right" w:pos="8306"/>
      </w:tabs>
    </w:pP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docVars>
    <w:docVar w:name="commondata" w:val="eyJoZGlkIjoiMTE5OGQ4Yjg3N2E0YmI4NWYwZWM4ZGJlOGVkNzY1ZTg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autoRedefine/>
    <w:pPr>
      <w:widowControl w:val="0"/>
      <w:jc w:val="both"/>
    </w:pPr>
    <w:rPr>
      <w:rFonts w:ascii="Times New Roman" w:eastAsia="宋体" w:cs="Times New Roman" w:hAnsi="Times New Roman"/>
      <w:kern w:val="2"/>
      <w:sz w:val="21"/>
      <w:szCs w:val="24"/>
      <w:lang w:val="en-US" w:eastAsia="zh-CN" w:bidi="ar-SA"/>
    </w:rPr>
  </w:style>
  <w:style w:type="paragraph" w:styleId="1">
    <w:name w:val="heading 1"/>
    <w:basedOn w:val="0"/>
    <w:next w:val="0"/>
    <w:pPr>
      <w:keepNext/>
      <w:keepLines/>
      <w:spacing w:before="340" w:after="330" w:line="578" w:lineRule="auto"/>
      <w:outlineLvl w:val="0"/>
    </w:pPr>
    <w:rPr>
      <w:b/>
      <w:bCs/>
      <w:kern w:val="44"/>
      <w:sz w:val="44"/>
    </w:rPr>
  </w:style>
  <w:style w:type="paragraph" w:styleId="2">
    <w:name w:val="heading 2"/>
    <w:basedOn w:val="0"/>
    <w:next w:val="0"/>
    <w:pPr>
      <w:keepNext/>
      <w:keepLines/>
      <w:spacing w:before="260" w:after="260" w:line="415" w:lineRule="auto"/>
      <w:outlineLvl w:val="1"/>
    </w:pPr>
    <w:rPr>
      <w:rFonts w:ascii="Luxi Sans" w:eastAsia="黑体" w:hAnsi="Luxi Sans"/>
      <w:b/>
      <w:sz w:val="32"/>
    </w:rPr>
  </w:style>
  <w:style w:type="paragraph" w:styleId="3">
    <w:name w:val="heading 3"/>
    <w:basedOn w:val="0"/>
    <w:next w:val="0"/>
    <w:pPr>
      <w:keepNext/>
      <w:keepLines/>
      <w:spacing w:before="260" w:after="260" w:line="415" w:lineRule="auto"/>
      <w:outlineLvl w:val="2"/>
    </w:pPr>
    <w:rPr>
      <w:b/>
      <w:sz w:val="32"/>
    </w:rPr>
  </w:style>
  <w:style w:type="paragraph" w:styleId="4">
    <w:name w:val="heading 4"/>
    <w:basedOn w:val="0"/>
    <w:autoRedefine/>
    <w:next w:val="0"/>
    <w:pPr>
      <w:keepNext/>
      <w:keepLines/>
      <w:widowControl w:val="0"/>
      <w:spacing w:before="280" w:after="290" w:line="377" w:lineRule="auto"/>
      <w:outlineLvl w:val="3"/>
    </w:pPr>
    <w:rPr>
      <w:rFonts w:ascii="Arial" w:eastAsia="黑体" w:hAnsi="Arial"/>
      <w:b/>
      <w:bCs/>
      <w:sz w:val="28"/>
      <w:szCs w:val="28"/>
    </w:rPr>
  </w:style>
  <w:style w:type="character" w:default="1" w:styleId="10">
    <w:name w:val="Default Paragraph Font"/>
  </w:style>
  <w:style w:type="paragraph" w:styleId="15">
    <w:name w:val="footer"/>
    <w:basedOn w:val="0"/>
    <w:autoRedefine/>
    <w:pPr>
      <w:tabs>
        <w:tab w:val="center" w:pos="4153"/>
        <w:tab w:val="right" w:pos="8306"/>
      </w:tabs>
      <w:snapToGrid w:val="0"/>
      <w:jc w:val="left"/>
    </w:pPr>
    <w:rPr>
      <w:sz w:val="18"/>
      <w:szCs w:val="18"/>
    </w:rPr>
  </w:style>
  <w:style w:type="paragraph" w:styleId="16">
    <w:name w:val="header"/>
    <w:basedOn w:val="0"/>
    <w:pPr>
      <w:pBdr>
        <w:bottom w:val="single" w:sz="6" w:space="1" w:color="auto"/>
      </w:pBdr>
      <w:tabs>
        <w:tab w:val="center" w:pos="4153"/>
        <w:tab w:val="right" w:pos="8306"/>
      </w:tabs>
      <w:snapToGrid w:val="0"/>
      <w:jc w:val="center"/>
    </w:pPr>
    <w:rPr>
      <w:sz w:val="18"/>
      <w:szCs w:val="18"/>
    </w:rPr>
  </w:style>
  <w:style w:type="character" w:customStyle="1" w:styleId="17">
    <w:name w:val="NormalCharacter"/>
    <w:rPr>
      <w:rFonts w:ascii="Calibri" w:eastAsia="宋体" w:hAnsi="Calibri"/>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fontTable" Target="fontTable.xml"/></Relationships>
</file>

<file path=docProps/app.xml><?xml version="1.0" encoding="utf-8"?>
<Properties xmlns="http://schemas.openxmlformats.org/officeDocument/2006/extended-properties">
  <Template>Normal.eit</Template>
  <TotalTime>8</TotalTime>
  <Application>Yozo_Office27021597764231179</Application>
  <Pages>4</Pages>
  <Words>1854</Words>
  <Characters>1882</Characters>
  <Lines>95</Lines>
  <Paragraphs>39</Paragraphs>
  <CharactersWithSpaces>1894</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sw</dc:creator>
  <cp:lastModifiedBy>szfxm</cp:lastModifiedBy>
  <cp:revision>5</cp:revision>
  <dcterms:created xsi:type="dcterms:W3CDTF">2024-04-19T23:17:00Z</dcterms:created>
  <dcterms:modified xsi:type="dcterms:W3CDTF">2024-05-15T03:28:57Z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2052-12.1.0.16729</vt:lpwstr>
  </property>
  <property fmtid="{D5CDD505-2E9C-101B-9397-08002B2CF9AE}" pid="3" name="ICV">
    <vt:lpwstr>767B010C6826436A9F1917275A700503_13</vt:lpwstr>
  </property>
</Properties>
</file>