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0A488">
      <w:pPr>
        <w:spacing w:line="590" w:lineRule="exact"/>
        <w:jc w:val="center"/>
        <w:rPr>
          <w:rFonts w:ascii="方正小标宋简体" w:eastAsia="方正小标宋简体"/>
          <w:kern w:val="0"/>
          <w:sz w:val="44"/>
          <w:szCs w:val="44"/>
        </w:rPr>
      </w:pPr>
    </w:p>
    <w:p w14:paraId="106F5E49">
      <w:pPr>
        <w:spacing w:line="590" w:lineRule="exact"/>
        <w:jc w:val="center"/>
        <w:rPr>
          <w:rFonts w:ascii="方正小标宋简体" w:eastAsia="方正小标宋简体"/>
          <w:kern w:val="0"/>
          <w:sz w:val="44"/>
          <w:szCs w:val="44"/>
        </w:rPr>
      </w:pPr>
    </w:p>
    <w:p w14:paraId="5C03D62E">
      <w:pPr>
        <w:spacing w:line="590" w:lineRule="exact"/>
        <w:jc w:val="center"/>
        <w:rPr>
          <w:rFonts w:ascii="方正小标宋简体" w:eastAsia="方正小标宋简体"/>
          <w:kern w:val="0"/>
          <w:sz w:val="44"/>
          <w:szCs w:val="44"/>
        </w:rPr>
      </w:pPr>
    </w:p>
    <w:p w14:paraId="554762EA">
      <w:pPr>
        <w:pStyle w:val="2"/>
        <w:ind w:left="0" w:leftChars="0" w:firstLine="0" w:firstLineChars="0"/>
        <w:rPr>
          <w:rFonts w:ascii="方正小标宋简体" w:eastAsia="方正小标宋简体"/>
          <w:kern w:val="0"/>
          <w:sz w:val="44"/>
          <w:szCs w:val="44"/>
        </w:rPr>
      </w:pPr>
    </w:p>
    <w:p w14:paraId="2DF1A271">
      <w:pPr>
        <w:jc w:val="center"/>
        <w:rPr>
          <w:rFonts w:hint="eastAsia" w:ascii="方正小标宋_GBK" w:hAnsi="方正小标宋_GBK" w:eastAsia="方正小标宋_GBK" w:cs="方正小标宋_GBK"/>
          <w:color w:val="FF0000"/>
          <w:spacing w:val="-6"/>
          <w:w w:val="38"/>
          <w:kern w:val="0"/>
          <w:position w:val="0"/>
          <w:sz w:val="110"/>
          <w:szCs w:val="110"/>
        </w:rPr>
      </w:pPr>
      <w:r>
        <w:rPr>
          <w:rFonts w:hint="eastAsia" w:ascii="方正小标宋简体" w:hAnsi="Times New Roman" w:eastAsia="方正小标宋简体" w:cs="Times New Roman"/>
          <w:color w:val="FF0000"/>
          <w:spacing w:val="-6"/>
          <w:w w:val="66"/>
          <w:position w:val="0"/>
          <w:sz w:val="96"/>
          <w:szCs w:val="96"/>
          <w:lang w:eastAsia="zh-CN"/>
        </w:rPr>
        <w:t>徐州市贾汪区农业农村局</w:t>
      </w:r>
    </w:p>
    <w:p w14:paraId="47E10AE7">
      <w:pPr>
        <w:ind w:firstLine="2880" w:firstLineChars="800"/>
        <w:jc w:val="both"/>
        <w:rPr>
          <w:rFonts w:hint="eastAsia" w:ascii="宋体" w:hAnsi="宋体"/>
          <w:b/>
          <w:sz w:val="36"/>
          <w:szCs w:val="36"/>
        </w:rPr>
      </w:pPr>
      <w:r>
        <w:rPr>
          <w:rFonts w:hint="eastAsia" w:ascii="仿宋" w:hAnsi="仿宋" w:eastAsia="仿宋" w:cs="仿宋"/>
          <w:kern w:val="0"/>
          <w:sz w:val="36"/>
          <w:szCs w:val="36"/>
          <w:lang w:val="en-US" w:eastAsia="zh-CN"/>
        </w:rPr>
        <w:t>贾农发</w:t>
      </w:r>
      <w:r>
        <w:rPr>
          <w:rFonts w:hint="eastAsia" w:ascii="仿宋_GB2312" w:eastAsia="仿宋_GB2312"/>
          <w:sz w:val="36"/>
          <w:szCs w:val="36"/>
        </w:rPr>
        <w:t>〔20</w:t>
      </w:r>
      <w:r>
        <w:rPr>
          <w:rFonts w:hint="eastAsia" w:ascii="仿宋_GB2312" w:eastAsia="仿宋_GB2312"/>
          <w:sz w:val="36"/>
          <w:szCs w:val="36"/>
          <w:lang w:val="en-US" w:eastAsia="zh-CN"/>
        </w:rPr>
        <w:t>24</w:t>
      </w:r>
      <w:r>
        <w:rPr>
          <w:rFonts w:hint="eastAsia" w:ascii="仿宋_GB2312" w:eastAsia="仿宋_GB2312"/>
          <w:sz w:val="36"/>
          <w:szCs w:val="36"/>
        </w:rPr>
        <w:t>〕</w:t>
      </w:r>
      <w:r>
        <w:rPr>
          <w:rFonts w:hint="eastAsia" w:ascii="仿宋_GB2312" w:eastAsia="仿宋_GB2312"/>
          <w:sz w:val="36"/>
          <w:szCs w:val="36"/>
          <w:lang w:val="en-US" w:eastAsia="zh-CN"/>
        </w:rPr>
        <w:t>34</w:t>
      </w:r>
      <w:bookmarkStart w:id="0" w:name="_GoBack"/>
      <w:bookmarkEnd w:id="0"/>
      <w:r>
        <w:rPr>
          <w:rFonts w:hint="eastAsia" w:ascii="仿宋_GB2312" w:eastAsia="仿宋_GB2312"/>
          <w:sz w:val="36"/>
          <w:szCs w:val="36"/>
        </w:rPr>
        <w:t>号</w:t>
      </w:r>
    </w:p>
    <w:p w14:paraId="0DD6CCD7">
      <w:pPr>
        <w:widowControl/>
        <w:spacing w:line="560" w:lineRule="exact"/>
        <w:ind w:firstLine="2160" w:firstLineChars="600"/>
        <w:jc w:val="both"/>
        <w:rPr>
          <w:rFonts w:hint="eastAsia" w:ascii="仿宋" w:hAnsi="仿宋" w:eastAsia="仿宋" w:cs="仿宋"/>
          <w:kern w:val="0"/>
          <w:sz w:val="36"/>
          <w:szCs w:val="36"/>
          <w:lang w:val="en-US" w:eastAsia="zh-CN"/>
        </w:rPr>
      </w:pPr>
    </w:p>
    <w:p w14:paraId="60F19C6F">
      <w:pPr>
        <w:keepNext w:val="0"/>
        <w:keepLines w:val="0"/>
        <w:pageBreakBefore w:val="0"/>
        <w:widowControl w:val="0"/>
        <w:kinsoku/>
        <w:wordWrap/>
        <w:overflowPunct/>
        <w:topLinePunct w:val="0"/>
        <w:autoSpaceDE/>
        <w:autoSpaceDN/>
        <w:bidi w:val="0"/>
        <w:adjustRightInd/>
        <w:snapToGrid/>
        <w:spacing w:line="300" w:lineRule="exact"/>
        <w:textAlignment w:val="auto"/>
        <w:rPr>
          <w:rFonts w:hint="default" w:ascii="方正小标宋简体" w:eastAsia="方正小标宋简体"/>
          <w:kern w:val="0"/>
          <w:sz w:val="44"/>
          <w:szCs w:val="44"/>
          <w:u w:val="single" w:color="FF0000"/>
          <w:lang w:val="en-US" w:eastAsia="zh-CN"/>
        </w:rPr>
      </w:pPr>
      <w:r>
        <w:rPr>
          <w:rFonts w:ascii="方正小标宋简体" w:eastAsia="方正小标宋简体"/>
          <w:kern w:val="0"/>
          <w:sz w:val="44"/>
          <w:szCs w:val="44"/>
          <w:u w:val="single" w:color="FF0000"/>
        </w:rPr>
        <w:t xml:space="preserve">     </w:t>
      </w:r>
      <w:r>
        <w:rPr>
          <w:rFonts w:hint="eastAsia" w:ascii="方正小标宋简体" w:eastAsia="方正小标宋简体"/>
          <w:kern w:val="0"/>
          <w:sz w:val="44"/>
          <w:szCs w:val="44"/>
          <w:u w:val="single" w:color="FF0000"/>
          <w:lang w:val="en-US" w:eastAsia="zh-CN"/>
        </w:rPr>
        <w:t xml:space="preserve">                                  </w:t>
      </w:r>
    </w:p>
    <w:p w14:paraId="1032FC35">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宋体"/>
          <w:b/>
          <w:kern w:val="0"/>
          <w:sz w:val="48"/>
          <w:szCs w:val="48"/>
          <w:u w:val="single"/>
        </w:rPr>
      </w:pPr>
    </w:p>
    <w:p w14:paraId="7129E7A1">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Calibri" w:hAnsi="Calibri" w:cs="Times New Roman"/>
          <w:b/>
          <w:bCs/>
          <w:sz w:val="48"/>
          <w:szCs w:val="48"/>
          <w:lang w:eastAsia="zh-CN"/>
        </w:rPr>
      </w:pPr>
    </w:p>
    <w:p w14:paraId="1E729FBD">
      <w:pPr>
        <w:widowControl/>
        <w:spacing w:line="560" w:lineRule="exact"/>
        <w:jc w:val="center"/>
        <w:rPr>
          <w:rFonts w:hint="eastAsia" w:ascii="Calibri" w:hAnsi="Calibri" w:cs="Times New Roman"/>
          <w:b/>
          <w:bCs/>
          <w:sz w:val="48"/>
          <w:szCs w:val="48"/>
          <w:lang w:eastAsia="zh-CN"/>
        </w:rPr>
      </w:pPr>
      <w:r>
        <w:rPr>
          <w:rFonts w:hint="eastAsia" w:ascii="Calibri" w:hAnsi="Calibri" w:cs="Times New Roman"/>
          <w:b/>
          <w:bCs/>
          <w:sz w:val="48"/>
          <w:szCs w:val="48"/>
          <w:lang w:eastAsia="zh-CN"/>
        </w:rPr>
        <w:t>贾汪区农机购置补贴机具核验工作制度（试</w:t>
      </w:r>
      <w:r>
        <w:rPr>
          <w:rFonts w:hint="eastAsia" w:cs="Times New Roman"/>
          <w:b/>
          <w:bCs/>
          <w:sz w:val="48"/>
          <w:szCs w:val="48"/>
          <w:lang w:val="en-US" w:eastAsia="zh-CN"/>
        </w:rPr>
        <w:t xml:space="preserve"> </w:t>
      </w:r>
      <w:r>
        <w:rPr>
          <w:rFonts w:hint="eastAsia" w:ascii="Calibri" w:hAnsi="Calibri" w:cs="Times New Roman"/>
          <w:b/>
          <w:bCs/>
          <w:sz w:val="48"/>
          <w:szCs w:val="48"/>
          <w:lang w:eastAsia="zh-CN"/>
        </w:rPr>
        <w:t>行）</w:t>
      </w:r>
    </w:p>
    <w:p w14:paraId="4703222E">
      <w:pPr>
        <w:pStyle w:val="2"/>
        <w:rPr>
          <w:rFonts w:hint="eastAsia" w:ascii="Calibri" w:hAnsi="Calibri" w:cs="Times New Roman"/>
          <w:b/>
          <w:bCs/>
          <w:sz w:val="48"/>
          <w:szCs w:val="48"/>
          <w:lang w:eastAsia="zh-CN"/>
        </w:rPr>
      </w:pPr>
    </w:p>
    <w:p w14:paraId="2C90F587">
      <w:pPr>
        <w:spacing w:line="590" w:lineRule="exact"/>
        <w:rPr>
          <w:rFonts w:hint="eastAsia" w:ascii="仿宋_GB2312" w:eastAsia="仿宋_GB2312"/>
          <w:color w:val="000000"/>
          <w:sz w:val="32"/>
          <w:szCs w:val="32"/>
        </w:rPr>
      </w:pPr>
      <w:r>
        <w:rPr>
          <w:rFonts w:hint="eastAsia" w:ascii="仿宋_GB2312" w:eastAsia="仿宋_GB2312"/>
          <w:color w:val="000000"/>
          <w:sz w:val="32"/>
          <w:szCs w:val="32"/>
        </w:rPr>
        <w:t>各</w:t>
      </w:r>
      <w:r>
        <w:rPr>
          <w:rFonts w:hint="eastAsia" w:ascii="仿宋_GB2312" w:eastAsia="仿宋_GB2312"/>
          <w:color w:val="000000"/>
          <w:sz w:val="32"/>
          <w:szCs w:val="32"/>
          <w:lang w:eastAsia="zh-CN"/>
        </w:rPr>
        <w:t>镇（街道办事处、功能区）农业农村办</w:t>
      </w:r>
      <w:r>
        <w:rPr>
          <w:rFonts w:hint="eastAsia" w:ascii="仿宋_GB2312" w:eastAsia="仿宋_GB2312"/>
          <w:color w:val="000000"/>
          <w:sz w:val="32"/>
          <w:szCs w:val="32"/>
        </w:rPr>
        <w:t>：</w:t>
      </w:r>
    </w:p>
    <w:p w14:paraId="4C384A0C">
      <w:pPr>
        <w:spacing w:after="0" w:line="360" w:lineRule="auto"/>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color w:val="000000"/>
          <w:sz w:val="32"/>
          <w:szCs w:val="32"/>
        </w:rPr>
        <w:t>加强农机购置补贴机具核验管理，是确保补贴资金安全和政策效益充分发挥的关键举措。为做好农机购置补贴机具核验工作，规范核验行为，防范管理风险，提高政策实施工作效率，进一步便民利民，根据</w:t>
      </w:r>
      <w:r>
        <w:rPr>
          <w:rFonts w:hint="eastAsia" w:ascii="仿宋_GB2312" w:hAnsi="仿宋_GB2312" w:eastAsia="仿宋_GB2312" w:cs="仿宋_GB2312"/>
          <w:sz w:val="32"/>
          <w:szCs w:val="32"/>
        </w:rPr>
        <w:t>省农业农村厅、省财政厅《关于</w:t>
      </w:r>
      <w:r>
        <w:rPr>
          <w:rFonts w:hint="eastAsia" w:ascii="仿宋_GB2312" w:hAnsi="仿宋_GB2312" w:eastAsia="仿宋_GB2312" w:cs="仿宋_GB2312"/>
          <w:sz w:val="32"/>
          <w:szCs w:val="32"/>
          <w:lang w:eastAsia="zh-CN"/>
        </w:rPr>
        <w:t>印发</w:t>
      </w:r>
      <w:r>
        <w:rPr>
          <w:rFonts w:hint="eastAsia" w:ascii="仿宋_GB2312" w:hAnsi="仿宋_GB2312" w:eastAsia="仿宋_GB2312" w:cs="仿宋_GB2312"/>
          <w:sz w:val="32"/>
          <w:szCs w:val="32"/>
        </w:rPr>
        <w:t xml:space="preserve">做好 </w:t>
      </w:r>
      <w:r>
        <w:rPr>
          <w:rFonts w:hint="eastAsia" w:ascii="仿宋_GB2312" w:hAnsi="仿宋_GB2312" w:eastAsia="仿宋_GB2312" w:cs="仿宋_GB2312"/>
          <w:sz w:val="32"/>
          <w:szCs w:val="32"/>
          <w:lang w:val="en-US" w:eastAsia="zh-CN"/>
        </w:rPr>
        <w:t>221-2023</w:t>
      </w:r>
      <w:r>
        <w:rPr>
          <w:rFonts w:hint="eastAsia" w:ascii="仿宋_GB2312" w:hAnsi="仿宋_GB2312" w:eastAsia="仿宋_GB2312" w:cs="仿宋_GB2312"/>
          <w:sz w:val="32"/>
          <w:szCs w:val="32"/>
        </w:rPr>
        <w:t>年农机购置补贴政策实施</w:t>
      </w:r>
      <w:r>
        <w:rPr>
          <w:rFonts w:hint="eastAsia" w:ascii="仿宋_GB2312" w:hAnsi="仿宋_GB2312" w:eastAsia="仿宋_GB2312" w:cs="仿宋_GB2312"/>
          <w:sz w:val="32"/>
          <w:szCs w:val="32"/>
          <w:lang w:eastAsia="zh-CN"/>
        </w:rPr>
        <w:t>意见的通知</w:t>
      </w:r>
      <w:r>
        <w:rPr>
          <w:rFonts w:hint="eastAsia" w:ascii="仿宋_GB2312" w:hAnsi="仿宋_GB2312" w:eastAsia="仿宋_GB2312" w:cs="仿宋_GB2312"/>
          <w:sz w:val="32"/>
          <w:szCs w:val="32"/>
        </w:rPr>
        <w:t>》（苏农机〔202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号）文件精神</w:t>
      </w:r>
      <w:r>
        <w:rPr>
          <w:rFonts w:hint="eastAsia" w:ascii="仿宋_GB2312" w:hAnsi="仿宋_GB2312" w:eastAsia="仿宋_GB2312" w:cs="仿宋_GB2312"/>
          <w:color w:val="000000"/>
          <w:sz w:val="32"/>
          <w:szCs w:val="32"/>
        </w:rPr>
        <w:t>，制定工作要点如下。</w:t>
      </w:r>
    </w:p>
    <w:p w14:paraId="6EE2D20C">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一、核验内容</w:t>
      </w:r>
    </w:p>
    <w:p w14:paraId="4C5F6B0E">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补贴机具核验是指区级和镇级农业农村主管部门对从事农业生产的个人和农业生产经营组织（以下简称“购机者”）申报农机购置补贴时提供的相关资料进行形式审核、对机具进行核查的工作。核验的主要内容包括：</w:t>
      </w:r>
    </w:p>
    <w:p w14:paraId="2207F782">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（一）购机者身份信息。个人身份证件或农业生产经营组织工商营业执照（统一社会信用代码）及其法定代表人身份证件等信息。</w:t>
      </w:r>
    </w:p>
    <w:p w14:paraId="04326AF3">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（二）购买信息。购买补贴机具税控发票等信息。</w:t>
      </w:r>
    </w:p>
    <w:p w14:paraId="07B6A093">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（三）机具信息。机具实物上的固定铭牌信息、农机购置补贴辅助管理系统所对应机具的信息、牌证管理机具的行驶证信息等。</w:t>
      </w:r>
    </w:p>
    <w:p w14:paraId="3ECA7F25">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（四）其他信息。购机者银行卡（折）账号、开户名等信息，以及政策实施要求提供的其他必要信息。</w:t>
      </w:r>
    </w:p>
    <w:p w14:paraId="706BACB3">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上述信息的真实性、完整性和有效性由购机者、产销企业和农机安全监理机构分别负责，并承担相应的法律责任。   </w:t>
      </w:r>
    </w:p>
    <w:p w14:paraId="14C27A55">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二、核验程序及要求</w:t>
      </w:r>
    </w:p>
    <w:p w14:paraId="63A27C22">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（一）受理申请。对购机者自主提出的补贴申请，主管部门应按规定及时受理。</w:t>
      </w:r>
      <w:r>
        <w:rPr>
          <w:rFonts w:hint="eastAsia" w:ascii="仿宋_GB2312" w:hAnsi="仿宋_GB2312" w:eastAsia="仿宋_GB2312" w:cs="仿宋_GB2312"/>
          <w:color w:val="000000"/>
          <w:sz w:val="32"/>
          <w:szCs w:val="32"/>
          <w:lang w:eastAsia="zh-CN"/>
        </w:rPr>
        <w:t>推广应用</w:t>
      </w:r>
      <w:r>
        <w:rPr>
          <w:rFonts w:hint="eastAsia" w:ascii="仿宋_GB2312" w:hAnsi="仿宋_GB2312" w:eastAsia="仿宋_GB2312" w:cs="仿宋_GB2312"/>
          <w:color w:val="000000"/>
          <w:sz w:val="32"/>
          <w:szCs w:val="32"/>
        </w:rPr>
        <w:t>手机APP、</w:t>
      </w:r>
      <w:r>
        <w:rPr>
          <w:rFonts w:hint="eastAsia" w:ascii="仿宋_GB2312" w:hAnsi="仿宋_GB2312" w:eastAsia="仿宋_GB2312" w:cs="仿宋_GB2312"/>
          <w:color w:val="000000"/>
          <w:sz w:val="32"/>
          <w:szCs w:val="32"/>
          <w:lang w:eastAsia="zh-CN"/>
        </w:rPr>
        <w:t>人脸识别、补贴机具二维码和物联网监控技术，提升风险风险防控技术手段，加快推进补贴流程线上办理。</w:t>
      </w:r>
    </w:p>
    <w:p w14:paraId="02FD0BD3">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（二）资料核验。</w:t>
      </w:r>
      <w:r>
        <w:rPr>
          <w:rFonts w:hint="eastAsia" w:ascii="仿宋_GB2312" w:hAnsi="仿宋_GB2312" w:eastAsia="仿宋_GB2312" w:cs="仿宋_GB2312"/>
          <w:b/>
          <w:color w:val="000000"/>
          <w:sz w:val="32"/>
          <w:szCs w:val="32"/>
        </w:rPr>
        <w:t>一是购机者及其身份、购机税控发票等资料。</w:t>
      </w:r>
      <w:r>
        <w:rPr>
          <w:rFonts w:hint="eastAsia" w:ascii="仿宋_GB2312" w:hAnsi="仿宋_GB2312" w:eastAsia="仿宋_GB2312" w:cs="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_GB2312" w:eastAsia="仿宋_GB2312" w:cs="仿宋_GB2312"/>
          <w:b/>
          <w:color w:val="000000"/>
          <w:sz w:val="32"/>
          <w:szCs w:val="32"/>
        </w:rPr>
        <w:t>二是银行卡（折）等资料。</w:t>
      </w:r>
      <w:r>
        <w:rPr>
          <w:rFonts w:hint="eastAsia" w:ascii="仿宋_GB2312" w:hAnsi="仿宋_GB2312" w:eastAsia="仿宋_GB2312" w:cs="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hint="eastAsia" w:ascii="仿宋_GB2312" w:hAnsi="仿宋_GB2312" w:eastAsia="仿宋_GB2312" w:cs="仿宋_GB2312"/>
          <w:b/>
          <w:color w:val="000000"/>
          <w:sz w:val="32"/>
          <w:szCs w:val="32"/>
        </w:rPr>
        <w:t>三是购机价格真实性承诺。</w:t>
      </w:r>
      <w:r>
        <w:rPr>
          <w:rFonts w:hint="eastAsia" w:ascii="仿宋_GB2312" w:hAnsi="仿宋_GB2312" w:eastAsia="仿宋_GB2312" w:cs="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ascii="仿宋_GB2312" w:hAnsi="仿宋_GB2312" w:eastAsia="仿宋_GB2312" w:cs="仿宋_GB2312"/>
          <w:b/>
          <w:color w:val="000000"/>
          <w:sz w:val="32"/>
          <w:szCs w:val="32"/>
        </w:rPr>
        <w:t>四是江苏省政策实施工作方案要求提供的其他资料。</w:t>
      </w:r>
    </w:p>
    <w:p w14:paraId="6EECA373">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14:paraId="37FEC2FA">
      <w:pPr>
        <w:spacing w:line="560" w:lineRule="exact"/>
        <w:ind w:firstLine="645"/>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7C1F5CB4">
      <w:pPr>
        <w:spacing w:line="560" w:lineRule="exact"/>
        <w:ind w:firstLine="645"/>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5E8ACD93">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未通过核验的，应将所发现的问题一次性告知购机者，并说明完善方法。</w:t>
      </w:r>
    </w:p>
    <w:p w14:paraId="024D7A21">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（四）复核登记。对资料核验、机具核验的程序、方式和签章的规范性进行集体复核，可与集体会商同步进行，通过后登记立册。</w:t>
      </w:r>
    </w:p>
    <w:p w14:paraId="714164DD">
      <w:pPr>
        <w:pStyle w:val="8"/>
        <w:adjustRightInd w:val="0"/>
        <w:spacing w:line="560" w:lineRule="exact"/>
        <w:ind w:firstLine="64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（五）公示报送。</w:t>
      </w:r>
      <w:r>
        <w:rPr>
          <w:rFonts w:hint="eastAsia" w:ascii="仿宋_GB2312" w:hAnsi="仿宋_GB2312" w:eastAsia="仿宋_GB2312" w:cs="仿宋_GB2312"/>
          <w:kern w:val="0"/>
          <w:sz w:val="32"/>
          <w:szCs w:val="32"/>
        </w:rPr>
        <w:t>对通过复核的补贴申请信息进行为期不少于</w:t>
      </w:r>
      <w:r>
        <w:rPr>
          <w:rFonts w:hint="eastAsia" w:ascii="仿宋_GB2312" w:hAnsi="仿宋_GB2312" w:eastAsia="仿宋_GB2312" w:cs="仿宋_GB2312"/>
          <w:kern w:val="0"/>
          <w:sz w:val="32"/>
          <w:szCs w:val="32"/>
          <w:lang w:val="en-US" w:eastAsia="zh-CN"/>
        </w:rPr>
        <w:t>5个工作日</w:t>
      </w:r>
      <w:r>
        <w:rPr>
          <w:rFonts w:hint="eastAsia" w:ascii="仿宋_GB2312" w:hAnsi="仿宋_GB2312" w:eastAsia="仿宋_GB2312" w:cs="仿宋_GB2312"/>
          <w:kern w:val="0"/>
          <w:sz w:val="32"/>
          <w:szCs w:val="32"/>
        </w:rPr>
        <w:t>的公示，公示无异议后报送同级财政部门。</w:t>
      </w:r>
    </w:p>
    <w:p w14:paraId="57D249F5">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（六）资料处理。对财政部门未提出疑义的补贴申请，将其核验资料留存备用备查，留存期限不少于5年。</w:t>
      </w:r>
    </w:p>
    <w:p w14:paraId="5AD4D744">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三、监督管理</w:t>
      </w:r>
    </w:p>
    <w:p w14:paraId="52B48C5B">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10B53D08">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14:paraId="19F2C50D">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级农机购置补贴领导小组研究决策。</w:t>
      </w:r>
    </w:p>
    <w:p w14:paraId="33B3924F">
      <w:pPr>
        <w:spacing w:line="560" w:lineRule="exact"/>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    （四）严格监督管理。健全内部控制制度，以机具核验流程为主线，逐项工作、逐个环节查找风险点，制定防控措施。鼓励探索开展补贴机具第三方独立抽查核验和信息化技术核验。</w:t>
      </w:r>
    </w:p>
    <w:p w14:paraId="14AA3E8D">
      <w:pPr>
        <w:spacing w:line="560" w:lineRule="exact"/>
        <w:rPr>
          <w:rFonts w:hint="eastAsia" w:ascii="仿宋_GB2312" w:hAnsi="仿宋_GB2312" w:eastAsia="仿宋_GB2312" w:cs="仿宋_GB2312"/>
          <w:color w:val="FF0000"/>
          <w:sz w:val="32"/>
          <w:szCs w:val="32"/>
        </w:rPr>
      </w:pPr>
      <w:r>
        <w:rPr>
          <w:rFonts w:hint="eastAsia" w:ascii="仿宋_GB2312" w:hAnsi="仿宋_GB2312" w:eastAsia="仿宋_GB2312" w:cs="仿宋_GB2312"/>
          <w:color w:val="FF0000"/>
          <w:sz w:val="32"/>
          <w:szCs w:val="32"/>
        </w:rPr>
        <w:t xml:space="preserve">    </w:t>
      </w:r>
    </w:p>
    <w:p w14:paraId="6C193AAC">
      <w:pPr>
        <w:rPr>
          <w:rFonts w:hint="eastAsia" w:ascii="仿宋_GB2312" w:hAnsi="仿宋_GB2312" w:eastAsia="仿宋_GB2312" w:cs="仿宋_GB2312"/>
          <w:color w:val="000000"/>
          <w:sz w:val="24"/>
        </w:rPr>
      </w:pPr>
    </w:p>
    <w:p w14:paraId="2E4DEAAC">
      <w:pPr>
        <w:spacing w:line="220" w:lineRule="atLeast"/>
        <w:jc w:val="right"/>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 </w:t>
      </w:r>
    </w:p>
    <w:p w14:paraId="3B71CB1E">
      <w:pPr>
        <w:spacing w:line="220" w:lineRule="atLeast"/>
        <w:jc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贾汪区农业农村局</w:t>
      </w:r>
    </w:p>
    <w:p w14:paraId="03014ADD">
      <w:pPr>
        <w:spacing w:line="220" w:lineRule="atLeast"/>
        <w:ind w:right="330"/>
        <w:jc w:val="center"/>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9</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日</w:t>
      </w:r>
    </w:p>
    <w:p w14:paraId="1EFEA022"/>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script"/>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3819D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44D9C3">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D44D9C3">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5YTc4ZDM5NDAxNjI2NzZhMWI3ZjVhNDgyMGM2M2UifQ=="/>
  </w:docVars>
  <w:rsids>
    <w:rsidRoot w:val="55A3518E"/>
    <w:rsid w:val="03980DD1"/>
    <w:rsid w:val="07896FA9"/>
    <w:rsid w:val="0A181EB1"/>
    <w:rsid w:val="0AFA1C6C"/>
    <w:rsid w:val="0B0F389D"/>
    <w:rsid w:val="0B1547A0"/>
    <w:rsid w:val="0C2001A3"/>
    <w:rsid w:val="0CB73E6E"/>
    <w:rsid w:val="0E8D6CE9"/>
    <w:rsid w:val="0FEC0995"/>
    <w:rsid w:val="152A4AB7"/>
    <w:rsid w:val="19497E05"/>
    <w:rsid w:val="1A46296B"/>
    <w:rsid w:val="1FB06C63"/>
    <w:rsid w:val="208F51F6"/>
    <w:rsid w:val="245A2440"/>
    <w:rsid w:val="29CB2950"/>
    <w:rsid w:val="2C355C09"/>
    <w:rsid w:val="31223B85"/>
    <w:rsid w:val="339B00CA"/>
    <w:rsid w:val="36371559"/>
    <w:rsid w:val="379628BF"/>
    <w:rsid w:val="38292932"/>
    <w:rsid w:val="38B65A71"/>
    <w:rsid w:val="3C502466"/>
    <w:rsid w:val="3FB31082"/>
    <w:rsid w:val="43997673"/>
    <w:rsid w:val="44581C04"/>
    <w:rsid w:val="45820B9A"/>
    <w:rsid w:val="46AD118F"/>
    <w:rsid w:val="49722687"/>
    <w:rsid w:val="4A807A8F"/>
    <w:rsid w:val="4B833201"/>
    <w:rsid w:val="4F7A2BA0"/>
    <w:rsid w:val="55A3518E"/>
    <w:rsid w:val="579C32AE"/>
    <w:rsid w:val="5933556A"/>
    <w:rsid w:val="5A977530"/>
    <w:rsid w:val="5B43544E"/>
    <w:rsid w:val="5B932268"/>
    <w:rsid w:val="604C7E49"/>
    <w:rsid w:val="66566B50"/>
    <w:rsid w:val="68F721BF"/>
    <w:rsid w:val="71AC7275"/>
    <w:rsid w:val="7561574F"/>
    <w:rsid w:val="76A977B6"/>
    <w:rsid w:val="76E01AA2"/>
    <w:rsid w:val="7C354462"/>
    <w:rsid w:val="7D4A0D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page number"/>
    <w:basedOn w:val="6"/>
    <w:qFormat/>
    <w:uiPriority w:val="0"/>
  </w:style>
  <w:style w:type="paragraph" w:customStyle="1" w:styleId="8">
    <w:name w:val="列出段落1"/>
    <w:basedOn w:val="1"/>
    <w:qFormat/>
    <w:uiPriority w:val="0"/>
    <w:pPr>
      <w:widowControl w:val="0"/>
      <w:adjustRightInd/>
      <w:snapToGrid/>
      <w:spacing w:after="0"/>
      <w:ind w:firstLine="420" w:firstLineChars="200"/>
      <w:jc w:val="both"/>
    </w:pPr>
    <w:rPr>
      <w:rFonts w:ascii="Times New Roman" w:hAnsi="Times New Roman" w:eastAsia="宋体" w:cs="Times New Roman"/>
      <w:kern w:val="2"/>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2173</Words>
  <Characters>2190</Characters>
  <Lines>0</Lines>
  <Paragraphs>0</Paragraphs>
  <TotalTime>0</TotalTime>
  <ScaleCrop>false</ScaleCrop>
  <LinksUpToDate>false</LinksUpToDate>
  <CharactersWithSpaces>2339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2020-01-21T03:29:00Z</dcterms:created>
  <dc:creator>Administrator</dc:creator>
  <cp:lastModifiedBy>nj114</cp:lastModifiedBy>
  <cp:lastPrinted>2020-05-27T09:19:00Z</cp:lastPrinted>
  <dcterms:modified xsi:type="dcterms:W3CDTF">2024-12-03T03:02:46Z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CE929B5194A44D3B9554F1BF50758452_13</vt:lpwstr>
  </property>
</Properties>
</file>