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1B9939">
      <w:pPr>
        <w:overflowPunct w:val="0"/>
        <w:jc w:val="center"/>
        <w:rPr>
          <w:rFonts w:hint="eastAsia"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202</w:t>
      </w:r>
      <w:r>
        <w:rPr>
          <w:rFonts w:hint="eastAsia" w:ascii="方正小标宋_GBK" w:hAnsi="Times New Roman" w:eastAsia="方正小标宋_GBK" w:cs="Times New Roman"/>
          <w:sz w:val="44"/>
          <w:szCs w:val="44"/>
          <w:lang w:val="en-US" w:eastAsia="zh-CN"/>
        </w:rPr>
        <w:t>5</w:t>
      </w:r>
      <w:r>
        <w:rPr>
          <w:rFonts w:hint="eastAsia" w:ascii="方正小标宋_GBK" w:hAnsi="Times New Roman" w:eastAsia="方正小标宋_GBK" w:cs="Times New Roman"/>
          <w:sz w:val="44"/>
          <w:szCs w:val="44"/>
        </w:rPr>
        <w:t>-2026年</w:t>
      </w:r>
      <w:r>
        <w:rPr>
          <w:rFonts w:hint="eastAsia" w:ascii="方正小标宋_GBK" w:hAnsi="Times New Roman" w:eastAsia="方正小标宋_GBK" w:cs="Times New Roman"/>
          <w:sz w:val="44"/>
          <w:szCs w:val="44"/>
          <w:lang w:eastAsia="zh-CN"/>
        </w:rPr>
        <w:t>江阴市</w:t>
      </w:r>
      <w:r>
        <w:rPr>
          <w:rFonts w:hint="eastAsia" w:ascii="方正小标宋_GBK" w:hAnsi="Times New Roman" w:eastAsia="方正小标宋_GBK" w:cs="Times New Roman"/>
          <w:sz w:val="44"/>
          <w:szCs w:val="44"/>
        </w:rPr>
        <w:t>农机购置与应用</w:t>
      </w:r>
    </w:p>
    <w:p w14:paraId="39825862">
      <w:pPr>
        <w:overflowPunct w:val="0"/>
        <w:jc w:val="center"/>
        <w:rPr>
          <w:rFonts w:hint="eastAsia"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补贴</w:t>
      </w:r>
      <w:bookmarkStart w:id="0" w:name="_GoBack"/>
      <w:bookmarkEnd w:id="0"/>
      <w:r>
        <w:rPr>
          <w:rFonts w:hint="eastAsia" w:ascii="方正小标宋_GBK" w:hAnsi="Times New Roman" w:eastAsia="方正小标宋_GBK" w:cs="Times New Roman"/>
          <w:sz w:val="44"/>
          <w:szCs w:val="44"/>
        </w:rPr>
        <w:t>机具核验工作要点</w:t>
      </w:r>
    </w:p>
    <w:p w14:paraId="74D65994">
      <w:pPr>
        <w:widowControl/>
        <w:adjustRightInd w:val="0"/>
        <w:snapToGrid w:val="0"/>
        <w:spacing w:line="560" w:lineRule="exact"/>
        <w:jc w:val="center"/>
        <w:rPr>
          <w:rFonts w:ascii="方正小标宋简体" w:hAnsi="方正小标宋简体" w:eastAsia="方正小标宋简体" w:cs="方正小标宋简体"/>
          <w:color w:val="000000"/>
          <w:sz w:val="44"/>
          <w:szCs w:val="44"/>
          <w:lang w:bidi="ar"/>
        </w:rPr>
      </w:pPr>
    </w:p>
    <w:p w14:paraId="231019BC">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加强农机购置与应用补贴机具核验管理，是确保补贴资金安全和政策效益充分发挥的关键举措。为指导各镇（街道）做好农机购置与应用补贴机具核验工作，规范核验行为，防范管理风险，提高政策实施工作效率，进一步便民利民，根据农业农村部、财政部及我省农机购置与应用补贴政策实施相关规定，制定农机购置与应用补贴机具核验工作要点如下。</w:t>
      </w:r>
    </w:p>
    <w:p w14:paraId="5A4CD8C5">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一、核验内容</w:t>
      </w:r>
    </w:p>
    <w:p w14:paraId="55B7D237">
      <w:pPr>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补贴机具核验是指各镇(街道)对</w:t>
      </w:r>
      <w:r>
        <w:rPr>
          <w:rFonts w:hint="eastAsia" w:ascii="仿宋" w:hAnsi="仿宋" w:eastAsia="仿宋" w:cs="仿宋"/>
          <w:sz w:val="32"/>
          <w:szCs w:val="32"/>
          <w:lang w:bidi="ar"/>
        </w:rPr>
        <w:t>从事农业生产的农民和农业生产经营组织（以下简称“购机者”）</w:t>
      </w:r>
      <w:r>
        <w:rPr>
          <w:rFonts w:hint="eastAsia" w:ascii="仿宋" w:hAnsi="仿宋" w:eastAsia="仿宋" w:cs="仿宋"/>
          <w:color w:val="000000"/>
          <w:sz w:val="32"/>
          <w:szCs w:val="32"/>
          <w:lang w:bidi="ar"/>
        </w:rPr>
        <w:t>申报农机购置与应用补贴时提供的相关资料进行形式审核、对机具进行核查的工作。核验的主要内容包括：</w:t>
      </w:r>
    </w:p>
    <w:p w14:paraId="0B468DC1">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（一）购机者身份信息。个人身份证件或农业生产经营组织工商营业执照（统一社会信用代码）及其法定代表人身份证件等信息。</w:t>
      </w:r>
    </w:p>
    <w:p w14:paraId="52EAD6E4">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（二）购买信息。购买补贴机具税控发票等信息。</w:t>
      </w:r>
    </w:p>
    <w:p w14:paraId="165AA5D1">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（三）机具信息。机具实物上的固定铭牌信息、农机购置与应用补贴辅助管理系统所对应机具的信息、牌证管理机具的行驶证信息等。</w:t>
      </w:r>
    </w:p>
    <w:p w14:paraId="4DE6ADFA">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（四）其他信息。购机者一折通</w:t>
      </w:r>
      <w:r>
        <w:rPr>
          <w:rFonts w:hint="eastAsia" w:ascii="仿宋" w:hAnsi="仿宋" w:eastAsia="仿宋" w:cs="仿宋"/>
          <w:sz w:val="32"/>
          <w:szCs w:val="32"/>
          <w:lang w:bidi="ar"/>
        </w:rPr>
        <w:t>（银行卡）账号、</w:t>
      </w:r>
      <w:r>
        <w:rPr>
          <w:rFonts w:hint="eastAsia" w:ascii="仿宋" w:hAnsi="仿宋" w:eastAsia="仿宋" w:cs="仿宋"/>
          <w:color w:val="000000"/>
          <w:sz w:val="32"/>
          <w:szCs w:val="32"/>
          <w:lang w:bidi="ar"/>
        </w:rPr>
        <w:t>开户名等信息，以及政策实施要求提供的其他必要信息。</w:t>
      </w:r>
    </w:p>
    <w:p w14:paraId="46A82723">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上述信息的真实性、完整性和有效性由购机者、产销企业和农机安全监理机构分别负责，并承担相应的法律责任。   </w:t>
      </w:r>
    </w:p>
    <w:p w14:paraId="42AC4EBC">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二、核验程序及要求</w:t>
      </w:r>
    </w:p>
    <w:p w14:paraId="3A2F3E4D">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（一）受理申请。对购机者自主提出的补贴申请，各镇（街道）农业农村主管科室应按规定及时受理。鼓励通过手机APP、“一站式”服务窗口等便捷高效的方式受理申请。</w:t>
      </w:r>
    </w:p>
    <w:p w14:paraId="3958A72A">
      <w:pPr>
        <w:adjustRightInd w:val="0"/>
        <w:snapToGrid w:val="0"/>
        <w:spacing w:line="560" w:lineRule="exact"/>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（二）资料核验。</w:t>
      </w:r>
      <w:r>
        <w:rPr>
          <w:rFonts w:hint="eastAsia" w:ascii="仿宋" w:hAnsi="仿宋" w:eastAsia="仿宋" w:cs="仿宋"/>
          <w:b/>
          <w:color w:val="000000"/>
          <w:sz w:val="32"/>
          <w:szCs w:val="32"/>
          <w:lang w:bidi="ar"/>
        </w:rPr>
        <w:t>一是购机者及其身份、购机税控发票等资料。</w:t>
      </w:r>
      <w:r>
        <w:rPr>
          <w:rFonts w:hint="eastAsia" w:ascii="仿宋" w:hAnsi="仿宋" w:eastAsia="仿宋" w:cs="仿宋"/>
          <w:color w:val="000000"/>
          <w:sz w:val="32"/>
          <w:szCs w:val="32"/>
          <w:lang w:bidi="ar"/>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 w:hAnsi="仿宋" w:eastAsia="仿宋" w:cs="仿宋"/>
          <w:b/>
          <w:color w:val="000000"/>
          <w:sz w:val="32"/>
          <w:szCs w:val="32"/>
          <w:lang w:bidi="ar"/>
        </w:rPr>
        <w:t>二是银行卡（折）等资料。</w:t>
      </w:r>
      <w:r>
        <w:rPr>
          <w:rFonts w:hint="eastAsia" w:ascii="仿宋" w:hAnsi="仿宋" w:eastAsia="仿宋" w:cs="仿宋"/>
          <w:color w:val="000000"/>
          <w:sz w:val="32"/>
          <w:szCs w:val="32"/>
          <w:lang w:bidi="ar"/>
        </w:rPr>
        <w:t>重点核验购机者填写的一折通</w:t>
      </w:r>
      <w:r>
        <w:rPr>
          <w:rFonts w:hint="eastAsia" w:ascii="仿宋" w:hAnsi="仿宋" w:eastAsia="仿宋" w:cs="仿宋"/>
          <w:sz w:val="32"/>
          <w:szCs w:val="32"/>
          <w:lang w:bidi="ar"/>
        </w:rPr>
        <w:t>账号（或银行账号）、开户名等信息与其携带的一折通（银行卡）所显</w:t>
      </w:r>
      <w:r>
        <w:rPr>
          <w:rFonts w:hint="eastAsia" w:ascii="仿宋" w:hAnsi="仿宋" w:eastAsia="仿宋" w:cs="仿宋"/>
          <w:color w:val="000000"/>
          <w:sz w:val="32"/>
          <w:szCs w:val="32"/>
          <w:lang w:bidi="ar"/>
        </w:rPr>
        <w:t>示的账号、身份证件所显示的购机者姓名、工商营业执照所显示的农业生产经营组织名称一致性情况。</w:t>
      </w:r>
      <w:r>
        <w:rPr>
          <w:rFonts w:hint="eastAsia" w:ascii="仿宋" w:hAnsi="仿宋" w:eastAsia="仿宋" w:cs="仿宋"/>
          <w:b/>
          <w:color w:val="000000"/>
          <w:sz w:val="32"/>
          <w:szCs w:val="32"/>
          <w:lang w:bidi="ar"/>
        </w:rPr>
        <w:t>三是购机价格真实性承诺。</w:t>
      </w:r>
      <w:r>
        <w:rPr>
          <w:rFonts w:hint="eastAsia" w:ascii="仿宋" w:hAnsi="仿宋" w:eastAsia="仿宋" w:cs="仿宋"/>
          <w:color w:val="000000"/>
          <w:sz w:val="32"/>
          <w:szCs w:val="32"/>
          <w:lang w:bidi="ar"/>
        </w:rPr>
        <w:t>提示购机者确认购机税控发票上的购机金额与其实际全部支付给经销企业的资金要一致，以及隐瞒不报、提供虚假信息需承担的违规责任，提示购机者对购机价格的真实性签字确认。</w:t>
      </w:r>
      <w:r>
        <w:rPr>
          <w:rFonts w:hint="eastAsia" w:ascii="仿宋" w:hAnsi="仿宋" w:eastAsia="仿宋" w:cs="仿宋"/>
          <w:b/>
          <w:color w:val="000000"/>
          <w:sz w:val="32"/>
          <w:szCs w:val="32"/>
          <w:lang w:bidi="ar"/>
        </w:rPr>
        <w:t>四是按要求提供的其他资料。</w:t>
      </w:r>
      <w:r>
        <w:rPr>
          <w:rFonts w:hint="eastAsia" w:ascii="仿宋" w:hAnsi="仿宋" w:eastAsia="仿宋" w:cs="仿宋"/>
          <w:color w:val="000000"/>
          <w:sz w:val="32"/>
          <w:szCs w:val="32"/>
          <w:lang w:bidi="ar"/>
        </w:rPr>
        <w:t>重点检验补贴机具铭牌拓印件上显示的机具名称、型号、出厂编号与农机购置与应用补贴资金申请表填写的、购机税控发票上所显示的机具名称、型号、出厂编号一致性情况。若购置需要安装验收农机装备的，重点检验安装确认表中所填写的购机者姓名、机具出厂编号要和购机者身份信息、机具铭牌拓印件上所显示的机具名称、型号、出厂编号一致。</w:t>
      </w:r>
    </w:p>
    <w:p w14:paraId="5CD20B36">
      <w:pPr>
        <w:adjustRightInd w:val="0"/>
        <w:snapToGrid w:val="0"/>
        <w:spacing w:line="560" w:lineRule="exact"/>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未通过核验的，应将所发现的问题一次性告知购机者，材料未齐全的，告知购机者，并说明完善方法。</w:t>
      </w:r>
    </w:p>
    <w:p w14:paraId="626D96B8">
      <w:pPr>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三）机具核验。重点核验购机税控发票所显示的机具名称、生产企业、型号、发动机号（不带动力的可不核验）、出厂编号与所购实物机具铭牌显示信息的一致性，所购实物机具铭牌显示信息与农机购置与应用补贴辅助管理系统内对应的机具信息要一致，购机税控发票所显示的经销企业要与农机购置与应用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与应用补贴辅助管理系统内对应的经销信息一致。</w:t>
      </w:r>
    </w:p>
    <w:p w14:paraId="12192937">
      <w:pPr>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鼓励通过进村入户、提前预约等方式开展核验，便利购机者以及设施安装类机具核验。核对一致后，填写《农机购置与应用补贴机具核查表》，由购机本人签字确认，核实组成员签字。核实实行“谁核实、谁负责、谁签字、谁负责”的责任追究制，防止责任缺失、工作疏忽大意，核实人员要做到逐户逐机到位，不留死角。核实结束各组及时将核查结果上报区农机购置与应用补贴工作领导机构。加强对单人多台套、短期内大批量、同人连年购置同类机具、区域适应性差的机具购置等异常情形的核验。</w:t>
      </w:r>
    </w:p>
    <w:p w14:paraId="066DB3BF">
      <w:pPr>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未通过核验的，应将所发现的问题一次性告知购机者，并说明完善方法。</w:t>
      </w:r>
    </w:p>
    <w:p w14:paraId="4ECD7239">
      <w:pPr>
        <w:adjustRightInd w:val="0"/>
        <w:snapToGrid w:val="0"/>
        <w:spacing w:line="560" w:lineRule="exact"/>
        <w:rPr>
          <w:rFonts w:ascii="仿宋" w:hAnsi="仿宋" w:eastAsia="仿宋" w:cs="仿宋"/>
          <w:sz w:val="32"/>
          <w:szCs w:val="32"/>
          <w:lang w:bidi="ar"/>
        </w:rPr>
      </w:pPr>
      <w:r>
        <w:rPr>
          <w:rFonts w:hint="eastAsia" w:ascii="仿宋" w:hAnsi="仿宋" w:eastAsia="仿宋" w:cs="仿宋"/>
          <w:color w:val="000000"/>
          <w:sz w:val="32"/>
          <w:szCs w:val="32"/>
          <w:lang w:bidi="ar"/>
        </w:rPr>
        <w:t xml:space="preserve">    </w:t>
      </w:r>
      <w:r>
        <w:rPr>
          <w:rFonts w:hint="eastAsia" w:ascii="仿宋" w:hAnsi="仿宋" w:eastAsia="仿宋" w:cs="仿宋"/>
          <w:sz w:val="32"/>
          <w:szCs w:val="32"/>
          <w:lang w:bidi="ar"/>
        </w:rPr>
        <w:t>（四）区级核查。组织对高风险机具和成套设施装备等进行抽查，重点加强核验单个购机者一次性购机5台以上及一个年度内购机10台以上的机具情况。</w:t>
      </w:r>
    </w:p>
    <w:p w14:paraId="6E4A4BA9">
      <w:pPr>
        <w:pStyle w:val="9"/>
        <w:widowControl/>
        <w:adjustRightInd w:val="0"/>
        <w:spacing w:line="560" w:lineRule="exact"/>
        <w:ind w:firstLine="640"/>
        <w:rPr>
          <w:rFonts w:ascii="仿宋" w:hAnsi="仿宋" w:eastAsia="仿宋" w:cs="仿宋"/>
          <w:color w:val="000000"/>
          <w:sz w:val="32"/>
          <w:szCs w:val="32"/>
        </w:rPr>
      </w:pPr>
      <w:r>
        <w:rPr>
          <w:rFonts w:hint="eastAsia" w:ascii="仿宋" w:hAnsi="仿宋" w:eastAsia="仿宋" w:cs="仿宋"/>
          <w:color w:val="000000"/>
          <w:sz w:val="32"/>
          <w:szCs w:val="32"/>
        </w:rPr>
        <w:t>（五）公示报</w:t>
      </w:r>
      <w:r>
        <w:rPr>
          <w:rFonts w:hint="eastAsia" w:ascii="仿宋" w:hAnsi="仿宋" w:eastAsia="仿宋" w:cs="仿宋"/>
          <w:sz w:val="32"/>
          <w:szCs w:val="32"/>
        </w:rPr>
        <w:t>送。对通过审核核验的补贴申请</w:t>
      </w:r>
      <w:r>
        <w:rPr>
          <w:rFonts w:hint="eastAsia" w:ascii="仿宋" w:hAnsi="仿宋" w:eastAsia="仿宋" w:cs="仿宋"/>
          <w:color w:val="000000"/>
          <w:sz w:val="32"/>
          <w:szCs w:val="32"/>
        </w:rPr>
        <w:t>信息进行为期5天的公示，公示无异议后报送同级财政部门。</w:t>
      </w:r>
    </w:p>
    <w:p w14:paraId="06B15BF9">
      <w:pPr>
        <w:adjustRightInd w:val="0"/>
        <w:snapToGrid w:val="0"/>
        <w:spacing w:line="560" w:lineRule="exact"/>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（六）资料处理。对财政部门未提出疑义的补贴申请，将其核验资料留存备用备查，留存期限不少于5年。</w:t>
      </w:r>
    </w:p>
    <w:p w14:paraId="73D9A25A">
      <w:pPr>
        <w:widowControl/>
        <w:adjustRightInd w:val="0"/>
        <w:snapToGrid w:val="0"/>
        <w:spacing w:line="56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bidi="ar"/>
        </w:rPr>
        <w:t>三、监督管理</w:t>
      </w:r>
    </w:p>
    <w:p w14:paraId="12AB2A90">
      <w:pPr>
        <w:adjustRightInd w:val="0"/>
        <w:snapToGrid w:val="0"/>
        <w:spacing w:line="560" w:lineRule="exact"/>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463F0A2F">
      <w:pPr>
        <w:adjustRightInd w:val="0"/>
        <w:snapToGrid w:val="0"/>
        <w:spacing w:line="560" w:lineRule="exact"/>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二）推行购机承诺践诺。加强购机者补贴申请行为的自我约束和信用管理，实行补贴申请资料真实性、完整性和有效性的自主承诺，引导其规范参与补贴政策实施，主动报告所发现的问题，共同维护政策实施良好环境。</w:t>
      </w:r>
    </w:p>
    <w:p w14:paraId="2E66F205">
      <w:pPr>
        <w:adjustRightInd w:val="0"/>
        <w:snapToGrid w:val="0"/>
        <w:spacing w:line="560" w:lineRule="exact"/>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农业农村局研究决策。</w:t>
      </w:r>
    </w:p>
    <w:p w14:paraId="22890555">
      <w:pPr>
        <w:adjustRightInd w:val="0"/>
        <w:snapToGrid w:val="0"/>
        <w:spacing w:line="560" w:lineRule="exact"/>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（四）严格监督管理。健全内部控制制度，以机具核验流程为主线，逐项工作、逐个环节查找风险点，制定防控措施。</w:t>
      </w:r>
    </w:p>
    <w:p w14:paraId="7C95331E">
      <w:pPr>
        <w:adjustRightInd w:val="0"/>
        <w:snapToGrid w:val="0"/>
        <w:spacing w:line="560" w:lineRule="exact"/>
        <w:rPr>
          <w:rFonts w:ascii="仿宋" w:hAnsi="仿宋" w:eastAsia="仿宋" w:cs="仿宋"/>
          <w:color w:val="000000"/>
          <w:sz w:val="32"/>
          <w:szCs w:val="32"/>
        </w:rPr>
      </w:pPr>
    </w:p>
    <w:p w14:paraId="3FCAA10B">
      <w:pPr>
        <w:adjustRightInd w:val="0"/>
        <w:snapToGrid w:val="0"/>
        <w:spacing w:line="560" w:lineRule="exact"/>
        <w:rPr>
          <w:rFonts w:ascii="仿宋" w:hAnsi="仿宋" w:eastAsia="仿宋" w:cs="仿宋"/>
          <w:color w:val="000000"/>
          <w:sz w:val="32"/>
          <w:szCs w:val="32"/>
        </w:rPr>
      </w:pPr>
    </w:p>
    <w:p w14:paraId="4325B013">
      <w:pPr>
        <w:adjustRightInd w:val="0"/>
        <w:snapToGrid w:val="0"/>
        <w:spacing w:line="560" w:lineRule="exact"/>
        <w:rPr>
          <w:rFonts w:ascii="仿宋" w:hAnsi="仿宋" w:eastAsia="仿宋" w:cs="仿宋"/>
          <w:color w:val="000000"/>
          <w:sz w:val="32"/>
          <w:szCs w:val="32"/>
        </w:rPr>
      </w:pPr>
    </w:p>
    <w:p w14:paraId="0806D38C">
      <w:pPr>
        <w:adjustRightInd w:val="0"/>
        <w:snapToGrid w:val="0"/>
        <w:spacing w:line="560" w:lineRule="exact"/>
        <w:jc w:val="center"/>
        <w:rPr>
          <w:rFonts w:ascii="仿宋" w:hAnsi="仿宋" w:eastAsia="仿宋" w:cs="仿宋"/>
          <w:color w:val="000000"/>
          <w:sz w:val="32"/>
          <w:szCs w:val="32"/>
        </w:rPr>
      </w:pPr>
      <w:r>
        <w:rPr>
          <w:rFonts w:hint="eastAsia" w:ascii="仿宋" w:hAnsi="仿宋" w:eastAsia="仿宋" w:cs="仿宋"/>
          <w:color w:val="000000"/>
          <w:sz w:val="32"/>
          <w:szCs w:val="32"/>
          <w:lang w:val="en-US" w:eastAsia="zh-CN" w:bidi="ar"/>
        </w:rPr>
        <w:t xml:space="preserve">                          </w:t>
      </w:r>
      <w:r>
        <w:rPr>
          <w:rFonts w:hint="eastAsia" w:ascii="仿宋" w:hAnsi="仿宋" w:eastAsia="仿宋" w:cs="仿宋"/>
          <w:color w:val="000000"/>
          <w:sz w:val="32"/>
          <w:szCs w:val="32"/>
          <w:lang w:eastAsia="zh-CN" w:bidi="ar"/>
        </w:rPr>
        <w:t>江阴市</w:t>
      </w:r>
      <w:r>
        <w:rPr>
          <w:rFonts w:hint="eastAsia" w:ascii="仿宋" w:hAnsi="仿宋" w:eastAsia="仿宋" w:cs="仿宋"/>
          <w:color w:val="000000"/>
          <w:sz w:val="32"/>
          <w:szCs w:val="32"/>
          <w:lang w:bidi="ar"/>
        </w:rPr>
        <w:t>农业农村局</w:t>
      </w:r>
    </w:p>
    <w:p w14:paraId="335DC1E8">
      <w:pPr>
        <w:adjustRightInd w:val="0"/>
        <w:snapToGrid w:val="0"/>
        <w:spacing w:line="560" w:lineRule="exact"/>
        <w:jc w:val="center"/>
        <w:rPr>
          <w:rFonts w:ascii="仿宋" w:hAnsi="仿宋" w:eastAsia="仿宋" w:cs="仿宋"/>
          <w:color w:val="000000"/>
          <w:sz w:val="32"/>
          <w:szCs w:val="32"/>
        </w:rPr>
      </w:pPr>
      <w:r>
        <w:rPr>
          <w:rFonts w:hint="eastAsia" w:ascii="仿宋" w:hAnsi="仿宋" w:eastAsia="仿宋" w:cs="仿宋"/>
          <w:color w:val="000000"/>
          <w:sz w:val="32"/>
          <w:szCs w:val="32"/>
          <w:lang w:bidi="ar"/>
        </w:rPr>
        <w:t xml:space="preserve">                            2025年3月10日</w:t>
      </w:r>
    </w:p>
    <w:p w14:paraId="1E17AE9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13436D6"/>
    <w:rsid w:val="00140DC7"/>
    <w:rsid w:val="002C1ACD"/>
    <w:rsid w:val="003B423F"/>
    <w:rsid w:val="003B4C65"/>
    <w:rsid w:val="00467085"/>
    <w:rsid w:val="0049288A"/>
    <w:rsid w:val="00501EDC"/>
    <w:rsid w:val="006F1B78"/>
    <w:rsid w:val="00763ABD"/>
    <w:rsid w:val="00E14814"/>
    <w:rsid w:val="00FF110D"/>
    <w:rsid w:val="03870C59"/>
    <w:rsid w:val="059E36F3"/>
    <w:rsid w:val="08716E9D"/>
    <w:rsid w:val="08AC35B4"/>
    <w:rsid w:val="15477903"/>
    <w:rsid w:val="19744A3F"/>
    <w:rsid w:val="1EC03837"/>
    <w:rsid w:val="21CE302B"/>
    <w:rsid w:val="24741D97"/>
    <w:rsid w:val="276A3738"/>
    <w:rsid w:val="499E328F"/>
    <w:rsid w:val="51681452"/>
    <w:rsid w:val="56547508"/>
    <w:rsid w:val="700510C2"/>
    <w:rsid w:val="713436D6"/>
    <w:rsid w:val="75D532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2"/>
      <w:szCs w:val="32"/>
      <w:lang w:eastAsia="en-US"/>
    </w:rPr>
  </w:style>
  <w:style w:type="paragraph" w:styleId="3">
    <w:name w:val="footer"/>
    <w:basedOn w:val="1"/>
    <w:link w:val="8"/>
    <w:qFormat/>
    <w:uiPriority w:val="0"/>
    <w:pPr>
      <w:tabs>
        <w:tab w:val="center" w:pos="4153"/>
        <w:tab w:val="right" w:pos="8306"/>
      </w:tabs>
      <w:snapToGrid w:val="0"/>
      <w:jc w:val="left"/>
    </w:pPr>
    <w:rPr>
      <w:sz w:val="18"/>
    </w:rPr>
  </w:style>
  <w:style w:type="paragraph" w:styleId="4">
    <w:name w:val="header"/>
    <w:basedOn w:val="1"/>
    <w:link w:val="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页眉 字符"/>
    <w:basedOn w:val="6"/>
    <w:link w:val="4"/>
    <w:qFormat/>
    <w:uiPriority w:val="0"/>
    <w:rPr>
      <w:kern w:val="2"/>
      <w:sz w:val="18"/>
      <w:szCs w:val="18"/>
    </w:rPr>
  </w:style>
  <w:style w:type="character" w:customStyle="1" w:styleId="8">
    <w:name w:val="页脚 字符"/>
    <w:basedOn w:val="6"/>
    <w:link w:val="3"/>
    <w:qFormat/>
    <w:uiPriority w:val="0"/>
    <w:rPr>
      <w:kern w:val="2"/>
      <w:sz w:val="18"/>
      <w:szCs w:val="18"/>
    </w:rPr>
  </w:style>
  <w:style w:type="paragraph" w:customStyle="1" w:styleId="9">
    <w:name w:val="列出段落1"/>
    <w:basedOn w:val="1"/>
    <w:uiPriority w:val="0"/>
    <w:pPr>
      <w:ind w:firstLine="420" w:firstLineChars="200"/>
    </w:pPr>
    <w:rPr>
      <w:rFonts w:ascii="Times New Roman" w:hAnsi="Times New Roman" w:eastAsia="宋体" w:cs="Times New Roman"/>
      <w:szCs w:val="21"/>
    </w:rPr>
  </w:style>
  <w:style w:type="character" w:customStyle="1" w:styleId="10">
    <w:name w:val="style131"/>
    <w:basedOn w:val="6"/>
    <w:uiPriority w:val="0"/>
    <w:rPr>
      <w:b/>
      <w:bCs/>
      <w:color w:val="0270C5"/>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2319</Words>
  <Characters>2334</Characters>
  <Lines>17</Lines>
  <Paragraphs>4</Paragraphs>
  <TotalTime>13</TotalTime>
  <ScaleCrop>false</ScaleCrop>
  <LinksUpToDate>false</LinksUpToDate>
  <CharactersWithSpaces>2423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2025-03-10T06:21:00Z</dcterms:created>
  <dc:creator>芊芊心洁</dc:creator>
  <cp:lastModifiedBy>Lenovo</cp:lastModifiedBy>
  <dcterms:modified xsi:type="dcterms:W3CDTF">2025-04-15T09:30:24Z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D336AE1BFEF04409842C93F95E1F8D42_11</vt:lpwstr>
  </property>
  <property fmtid="{D5CDD505-2E9C-101B-9397-08002B2CF9AE}" pid="4" name="KSOTemplateDocerSaveRecord">
    <vt:lpwstr>eyJoZGlkIjoiZGEyNjJkY2RiMWFmNmRiZDNiNWU5MzI5MDQwMWYxOTkifQ==</vt:lpwstr>
  </property>
</Properties>
</file>