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1BCE7C">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黑体_GBK" w:hAnsi="方正黑体_GBK" w:eastAsia="方正黑体_GBK" w:cs="方正黑体_GBK"/>
          <w:b w:val="0"/>
          <w:bCs w:val="0"/>
          <w:sz w:val="32"/>
          <w:szCs w:val="32"/>
          <w:lang w:val="en-US" w:eastAsia="zh-CN"/>
        </w:rPr>
      </w:pPr>
      <w:r>
        <w:rPr>
          <w:rFonts w:hint="eastAsia" w:ascii="方正黑体_GBK" w:hAnsi="方正黑体_GBK" w:eastAsia="方正黑体_GBK" w:cs="方正黑体_GBK"/>
          <w:b w:val="0"/>
          <w:bCs w:val="0"/>
          <w:sz w:val="32"/>
          <w:szCs w:val="32"/>
          <w:lang w:val="en-US" w:eastAsia="zh-CN"/>
        </w:rPr>
        <w:t>附件2</w:t>
      </w:r>
    </w:p>
    <w:p w14:paraId="58FB665E">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黑体" w:hAnsi="黑体" w:eastAsia="黑体" w:cs="黑体"/>
          <w:sz w:val="30"/>
          <w:szCs w:val="30"/>
          <w:lang w:val="en-US" w:eastAsia="zh-CN"/>
        </w:rPr>
      </w:pPr>
    </w:p>
    <w:p w14:paraId="02695E0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sz w:val="44"/>
          <w:szCs w:val="44"/>
        </w:rPr>
      </w:pPr>
      <w:r>
        <w:rPr>
          <w:rFonts w:hint="eastAsia" w:ascii="方正公文小标宋" w:hAnsi="方正公文小标宋" w:eastAsia="方正公文小标宋" w:cs="方正公文小标宋"/>
          <w:sz w:val="44"/>
          <w:szCs w:val="44"/>
        </w:rPr>
        <w:t>《江苏省海洋渔船违法违规记分管理办法</w:t>
      </w:r>
    </w:p>
    <w:p w14:paraId="601416D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sz w:val="44"/>
          <w:szCs w:val="44"/>
        </w:rPr>
      </w:pPr>
      <w:r>
        <w:rPr>
          <w:rFonts w:hint="eastAsia" w:ascii="方正公文小标宋" w:hAnsi="方正公文小标宋" w:eastAsia="方正公文小标宋" w:cs="方正公文小标宋"/>
          <w:sz w:val="44"/>
          <w:szCs w:val="44"/>
        </w:rPr>
        <w:t>（征求意见稿）》修订说明</w:t>
      </w:r>
    </w:p>
    <w:p w14:paraId="4C5347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p>
    <w:p w14:paraId="0514BBE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为进一步完善海洋渔船违法违规记分管理体系，健全海洋渔船安全生产长效</w:t>
      </w:r>
      <w:r>
        <w:rPr>
          <w:rFonts w:hint="default" w:ascii="Times New Roman" w:hAnsi="Times New Roman" w:cs="Times New Roman"/>
          <w:lang w:val="en-US" w:eastAsia="zh-CN"/>
        </w:rPr>
        <w:t>管理</w:t>
      </w:r>
      <w:r>
        <w:rPr>
          <w:rFonts w:hint="default" w:ascii="Times New Roman" w:hAnsi="Times New Roman" w:cs="Times New Roman"/>
        </w:rPr>
        <w:t>机制，推动海洋渔业高质量发展，依据国家、省相关法律法规和政策文件，省农业农村厅组织</w:t>
      </w:r>
      <w:r>
        <w:rPr>
          <w:rFonts w:hint="eastAsia" w:cs="Times New Roman"/>
          <w:lang w:val="en-US" w:eastAsia="zh-CN"/>
        </w:rPr>
        <w:t>对《</w:t>
      </w:r>
      <w:r>
        <w:rPr>
          <w:rFonts w:hint="default" w:ascii="Times New Roman" w:hAnsi="Times New Roman" w:cs="Times New Roman"/>
        </w:rPr>
        <w:t>江苏省海洋渔船</w:t>
      </w:r>
      <w:r>
        <w:rPr>
          <w:rFonts w:hint="default" w:ascii="Times New Roman" w:hAnsi="Times New Roman" w:cs="Times New Roman"/>
          <w:lang w:val="en-US" w:eastAsia="zh-CN"/>
        </w:rPr>
        <w:t>安全</w:t>
      </w:r>
      <w:r>
        <w:rPr>
          <w:rFonts w:hint="default" w:ascii="Times New Roman" w:hAnsi="Times New Roman" w:cs="Times New Roman"/>
        </w:rPr>
        <w:t>记分管理办法</w:t>
      </w:r>
      <w:r>
        <w:rPr>
          <w:rFonts w:hint="default" w:ascii="Times New Roman" w:hAnsi="Times New Roman" w:cs="Times New Roman"/>
          <w:lang w:eastAsia="zh-CN"/>
        </w:rPr>
        <w:t>》</w:t>
      </w:r>
      <w:r>
        <w:rPr>
          <w:rFonts w:hint="eastAsia" w:cs="Times New Roman"/>
          <w:lang w:val="en-US" w:eastAsia="zh-CN"/>
        </w:rPr>
        <w:t>进行了修订，目前修订稿</w:t>
      </w:r>
      <w:r>
        <w:rPr>
          <w:rFonts w:hint="default" w:ascii="Times New Roman" w:hAnsi="Times New Roman" w:cs="Times New Roman"/>
        </w:rPr>
        <w:t>《江苏省海洋渔船违法违规记分管理办法（</w:t>
      </w:r>
      <w:r>
        <w:rPr>
          <w:rFonts w:hint="eastAsia" w:cs="Times New Roman"/>
          <w:lang w:val="en-US" w:eastAsia="zh-CN"/>
        </w:rPr>
        <w:t>草案</w:t>
      </w:r>
      <w:r>
        <w:rPr>
          <w:rFonts w:hint="default" w:ascii="Times New Roman" w:hAnsi="Times New Roman" w:cs="Times New Roman"/>
        </w:rPr>
        <w:t>）》（以下简称《记分管理办法》）</w:t>
      </w:r>
      <w:r>
        <w:rPr>
          <w:rFonts w:hint="eastAsia" w:cs="Times New Roman"/>
          <w:lang w:val="en-US" w:eastAsia="zh-CN"/>
        </w:rPr>
        <w:t>已完成</w:t>
      </w:r>
      <w:r>
        <w:rPr>
          <w:rFonts w:hint="default" w:ascii="Times New Roman" w:hAnsi="Times New Roman" w:cs="Times New Roman"/>
        </w:rPr>
        <w:t>。现就修订有关情况说明如下：</w:t>
      </w:r>
    </w:p>
    <w:p w14:paraId="5EBE77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 xml:space="preserve"> </w:t>
      </w:r>
      <w:r>
        <w:rPr>
          <w:rFonts w:hint="default" w:ascii="Times New Roman" w:hAnsi="Times New Roman" w:eastAsia="黑体" w:cs="Times New Roman"/>
        </w:rPr>
        <w:t>一、修订必要性</w:t>
      </w:r>
    </w:p>
    <w:p w14:paraId="6601CF3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cs="Times New Roman"/>
        </w:rPr>
      </w:pPr>
      <w:r>
        <w:rPr>
          <w:rFonts w:hint="default" w:ascii="Times New Roman" w:hAnsi="Times New Roman" w:eastAsia="方正楷体_GB2312" w:cs="Times New Roman"/>
        </w:rPr>
        <w:t xml:space="preserve">1. </w:t>
      </w:r>
      <w:bookmarkStart w:id="0" w:name="_GoBack"/>
      <w:bookmarkEnd w:id="0"/>
      <w:r>
        <w:rPr>
          <w:rFonts w:hint="eastAsia" w:eastAsia="方正楷体_GB2312" w:cs="Times New Roman"/>
          <w:lang w:val="en-US" w:eastAsia="zh-CN"/>
        </w:rPr>
        <w:t>提升渔船安全监管能力</w:t>
      </w:r>
      <w:r>
        <w:rPr>
          <w:rFonts w:hint="default" w:ascii="Times New Roman" w:hAnsi="Times New Roman" w:eastAsia="方正楷体_GB2312" w:cs="Times New Roman"/>
        </w:rPr>
        <w:t>的</w:t>
      </w:r>
      <w:r>
        <w:rPr>
          <w:rFonts w:hint="eastAsia" w:eastAsia="方正楷体_GB2312" w:cs="Times New Roman"/>
          <w:lang w:val="en-US" w:eastAsia="zh-CN"/>
        </w:rPr>
        <w:t>重要抓手</w:t>
      </w:r>
      <w:r>
        <w:rPr>
          <w:rFonts w:hint="default" w:ascii="Times New Roman" w:hAnsi="Times New Roman" w:eastAsia="方正楷体_GB2312" w:cs="Times New Roman"/>
        </w:rPr>
        <w:t>。</w:t>
      </w:r>
      <w:r>
        <w:rPr>
          <w:rFonts w:hint="default" w:ascii="Times New Roman" w:hAnsi="Times New Roman" w:cs="Times New Roman"/>
        </w:rPr>
        <w:t>我省七部门联合印发海洋渔船安全生产专项整治方案，记分管理将作为排查突出隐患、提升本质安全水平、强化主体安全意识的重要抓手。在原</w:t>
      </w:r>
      <w:r>
        <w:rPr>
          <w:rFonts w:hint="eastAsia" w:cs="Times New Roman"/>
          <w:lang w:val="en-US" w:eastAsia="zh-CN"/>
        </w:rPr>
        <w:t>试行办法</w:t>
      </w:r>
      <w:r>
        <w:rPr>
          <w:rFonts w:hint="default" w:ascii="Times New Roman" w:hAnsi="Times New Roman" w:cs="Times New Roman"/>
        </w:rPr>
        <w:t>基础上修订完善，通过标准化记分手段进一步夯实安全监管基础、健全全链条监管体系，是全面落实专项整治工作要求的关键举措。</w:t>
      </w:r>
    </w:p>
    <w:p w14:paraId="59E0B81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方正楷体_GB2312" w:cs="Times New Roman"/>
        </w:rPr>
        <w:t>2. 压实主体责任的有效手段。</w:t>
      </w:r>
      <w:r>
        <w:rPr>
          <w:rFonts w:hint="default" w:ascii="Times New Roman" w:hAnsi="Times New Roman" w:cs="Times New Roman"/>
        </w:rPr>
        <w:t>当前部分渔船所有人、经营人和船长安全生产意识淡薄，主体责任落实不到位。通过记分管理强化对责任主体的刚性约束，以船舶为核心监管单元，重点约束船舶所有人，强化记分结果与补贴发放、专项捕捞申请等权益的挂钩，倒逼渔民从“被动监管”向“主动规范”转变，切实筑牢渔业安全生产责任防线。</w:t>
      </w:r>
    </w:p>
    <w:p w14:paraId="2309FB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方正楷体_GB2312" w:cs="Times New Roman"/>
        </w:rPr>
        <w:t>3. 提升渔政管理规范化水平的重要举措。</w:t>
      </w:r>
      <w:r>
        <w:rPr>
          <w:rFonts w:hint="default" w:ascii="Times New Roman" w:hAnsi="Times New Roman" w:cs="Times New Roman"/>
        </w:rPr>
        <w:t>当前我省渔业渔政管理存在装备能力薄弱、有效监管手段不足等问题，部分</w:t>
      </w:r>
      <w:r>
        <w:rPr>
          <w:rFonts w:hint="default" w:ascii="Times New Roman" w:hAnsi="Times New Roman" w:cs="Times New Roman"/>
          <w:lang w:val="en-US" w:eastAsia="zh-CN"/>
        </w:rPr>
        <w:t>违法违规行为及</w:t>
      </w:r>
      <w:r>
        <w:rPr>
          <w:rFonts w:hint="default" w:ascii="Times New Roman" w:hAnsi="Times New Roman" w:cs="Times New Roman"/>
        </w:rPr>
        <w:t>安全生产隐患难以根治。通过制定标准化的记分规则、明确统一的实施流程，对渔船违法违规行为进行分类分级管理，可有效弥补监管短板，提升渔业渔政管理和执法监督的规范化、精细化水平。</w:t>
      </w:r>
    </w:p>
    <w:p w14:paraId="11EFEB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方正楷体_GB2312" w:cs="Times New Roman"/>
        </w:rPr>
        <w:t>4. 衔接上位制度的必然要求。</w:t>
      </w:r>
      <w:r>
        <w:rPr>
          <w:rFonts w:hint="default" w:ascii="Times New Roman" w:hAnsi="Times New Roman" w:cs="Times New Roman"/>
        </w:rPr>
        <w:t>本次修订立足既有制度基础，系统衔接农业农村部《海洋渔业船员违法违规记分办法》《渔业船舶重大事故隐患判定标准》等最新制度文件，确保《记分管理办法》与国家政策导向保持一致，进一步完善我省渔业安全管理制度体系。</w:t>
      </w:r>
    </w:p>
    <w:p w14:paraId="12F95A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rPr>
      </w:pPr>
      <w:r>
        <w:rPr>
          <w:rFonts w:hint="default" w:ascii="Times New Roman" w:hAnsi="Times New Roman" w:eastAsia="黑体" w:cs="Times New Roman"/>
        </w:rPr>
        <w:t xml:space="preserve"> 二、修订过程</w:t>
      </w:r>
    </w:p>
    <w:p w14:paraId="05624D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2025年11月，</w:t>
      </w:r>
      <w:r>
        <w:rPr>
          <w:rFonts w:hint="default" w:ascii="Times New Roman" w:hAnsi="Times New Roman" w:cs="Times New Roman"/>
          <w:lang w:val="en-US" w:eastAsia="zh-CN"/>
        </w:rPr>
        <w:t>厅渔政处牵头</w:t>
      </w:r>
      <w:r>
        <w:rPr>
          <w:rFonts w:hint="default" w:ascii="Times New Roman" w:hAnsi="Times New Roman" w:cs="Times New Roman"/>
        </w:rPr>
        <w:t>启动《记分管理办法》起草工作，在深入研究国家及</w:t>
      </w:r>
      <w:r>
        <w:rPr>
          <w:rFonts w:hint="default" w:ascii="Times New Roman" w:hAnsi="Times New Roman" w:cs="Times New Roman"/>
          <w:lang w:val="en-US" w:eastAsia="zh-CN"/>
        </w:rPr>
        <w:t>我</w:t>
      </w:r>
      <w:r>
        <w:rPr>
          <w:rFonts w:hint="default" w:ascii="Times New Roman" w:hAnsi="Times New Roman" w:cs="Times New Roman"/>
        </w:rPr>
        <w:t>省相关法律法规、参考兄弟省市先进实践经验的基础上，广泛听取行业专家、渔业渔政相关单位及渔船从业者代表的意见建议，形成初稿。2025年12月2日，召开海洋渔业专委会会议，分管</w:t>
      </w:r>
      <w:r>
        <w:rPr>
          <w:rFonts w:hint="default" w:ascii="Times New Roman" w:hAnsi="Times New Roman" w:cs="Times New Roman"/>
          <w:lang w:val="en-US"/>
        </w:rPr>
        <w:t>厅</w:t>
      </w:r>
      <w:r>
        <w:rPr>
          <w:rFonts w:hint="default" w:ascii="Times New Roman" w:hAnsi="Times New Roman" w:cs="Times New Roman"/>
        </w:rPr>
        <w:t>领导专门听取修订情况汇报并提出明确修改要求。2025年12月至2026年1月，多次组织相关直属单位</w:t>
      </w:r>
      <w:r>
        <w:rPr>
          <w:rFonts w:hint="default" w:ascii="Times New Roman" w:hAnsi="Times New Roman" w:cs="Times New Roman"/>
          <w:lang w:val="en-US" w:eastAsia="zh-CN"/>
        </w:rPr>
        <w:t>及专业院校相关负责同志</w:t>
      </w:r>
      <w:r>
        <w:rPr>
          <w:rFonts w:hint="default" w:ascii="Times New Roman" w:hAnsi="Times New Roman" w:cs="Times New Roman"/>
        </w:rPr>
        <w:t>召开专题研讨会，对初稿进行反复论证、修改完善，最终形成《记分管理办法（征求意见稿）》。</w:t>
      </w:r>
    </w:p>
    <w:p w14:paraId="6654B2D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rPr>
      </w:pPr>
      <w:r>
        <w:rPr>
          <w:rFonts w:hint="default" w:ascii="Times New Roman" w:hAnsi="Times New Roman" w:eastAsia="黑体" w:cs="Times New Roman"/>
        </w:rPr>
        <w:t>三、修订主要内容</w:t>
      </w:r>
    </w:p>
    <w:p w14:paraId="538A99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方正楷体_GB2312" w:cs="Times New Roman"/>
        </w:rPr>
        <w:t>1. 聚焦监管核心，完善适用与管理机制</w:t>
      </w:r>
      <w:r>
        <w:rPr>
          <w:rFonts w:hint="default" w:ascii="Times New Roman" w:hAnsi="Times New Roman" w:eastAsia="方正楷体_GB2312" w:cs="Times New Roman"/>
          <w:b/>
          <w:bCs/>
        </w:rPr>
        <w:t>。</w:t>
      </w:r>
      <w:r>
        <w:rPr>
          <w:rFonts w:hint="default" w:ascii="Times New Roman" w:hAnsi="Times New Roman" w:cs="Times New Roman"/>
          <w:b/>
          <w:bCs/>
        </w:rPr>
        <w:t>一是明确适用范围，</w:t>
      </w:r>
      <w:r>
        <w:rPr>
          <w:rFonts w:hint="default" w:ascii="Times New Roman" w:hAnsi="Times New Roman" w:cs="Times New Roman"/>
        </w:rPr>
        <w:t>将船籍港为本省辖区渔港的国内海洋捕捞渔船和捕捞辅助船全部纳入管理，实现监管全覆盖。</w:t>
      </w:r>
      <w:r>
        <w:rPr>
          <w:rFonts w:hint="default" w:ascii="Times New Roman" w:hAnsi="Times New Roman" w:cs="Times New Roman"/>
          <w:b/>
          <w:bCs/>
        </w:rPr>
        <w:t>二是强化管理主体职责，</w:t>
      </w:r>
      <w:r>
        <w:rPr>
          <w:rFonts w:hint="default" w:ascii="Times New Roman" w:hAnsi="Times New Roman" w:cs="Times New Roman"/>
        </w:rPr>
        <w:t>明确省农业农村厅主管全省工作，县级以上主管部门负责记分实施、学习组织、复核受理等日常管理，构建分级负责、协同高效的管理体系。</w:t>
      </w:r>
      <w:r>
        <w:rPr>
          <w:rFonts w:hint="default" w:ascii="Times New Roman" w:hAnsi="Times New Roman" w:cs="Times New Roman"/>
          <w:b/>
          <w:bCs/>
        </w:rPr>
        <w:t>三是优化记分基础规则，</w:t>
      </w:r>
      <w:r>
        <w:rPr>
          <w:rFonts w:hint="default" w:ascii="Times New Roman" w:hAnsi="Times New Roman" w:cs="Times New Roman"/>
        </w:rPr>
        <w:t>明确记分以单船为单位、周期为自然年，同一航次多项违规分值累加、同一行为按最高分值记分，确保记分公正合理。</w:t>
      </w:r>
    </w:p>
    <w:p w14:paraId="6DFBEAE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方正楷体_GB2312" w:cs="Times New Roman"/>
        </w:rPr>
        <w:t>2. 细化记分标准，强化惩戒与教育并重。</w:t>
      </w:r>
      <w:r>
        <w:rPr>
          <w:rFonts w:hint="default" w:ascii="Times New Roman" w:hAnsi="Times New Roman" w:cs="Times New Roman"/>
          <w:b/>
          <w:bCs/>
        </w:rPr>
        <w:t>一是科学划分记分档次，</w:t>
      </w:r>
      <w:r>
        <w:rPr>
          <w:rFonts w:hint="default" w:ascii="Times New Roman" w:hAnsi="Times New Roman" w:cs="Times New Roman"/>
        </w:rPr>
        <w:t>设置1分、2分、3分、6分、12分五档分值，结合违规行为的危害程度、影响范围，明确42项具体记分事项，避免“一刀切”。</w:t>
      </w:r>
      <w:r>
        <w:rPr>
          <w:rFonts w:hint="default" w:ascii="Times New Roman" w:hAnsi="Times New Roman" w:cs="Times New Roman"/>
          <w:b/>
          <w:bCs/>
        </w:rPr>
        <w:t>二是突出重点船舶管理，</w:t>
      </w:r>
      <w:r>
        <w:rPr>
          <w:rFonts w:hint="default" w:ascii="Times New Roman" w:hAnsi="Times New Roman" w:cs="Times New Roman"/>
        </w:rPr>
        <w:t>对核定乘员10人及以上、从事专项捕捞的渔船，在标准分值基础上提高一档执行，强化高风险船舶监管。</w:t>
      </w:r>
      <w:r>
        <w:rPr>
          <w:rFonts w:hint="default" w:ascii="Times New Roman" w:hAnsi="Times New Roman" w:cs="Times New Roman"/>
          <w:b/>
          <w:bCs/>
        </w:rPr>
        <w:t>三是完善记分结果运用，</w:t>
      </w:r>
      <w:r>
        <w:rPr>
          <w:rFonts w:hint="default" w:ascii="Times New Roman" w:hAnsi="Times New Roman" w:cs="Times New Roman"/>
        </w:rPr>
        <w:t>明确记满6分约谈提醒、记满12分停航禁港及扣发补贴等措施，累计记满12分两次以上的，下一年度不予受理专项捕捞申请，增强惩戒力度。</w:t>
      </w:r>
      <w:r>
        <w:rPr>
          <w:rFonts w:hint="default" w:ascii="Times New Roman" w:hAnsi="Times New Roman" w:cs="Times New Roman"/>
          <w:b/>
          <w:bCs/>
        </w:rPr>
        <w:t>四是新增教育与奖励消分机制，</w:t>
      </w:r>
      <w:r>
        <w:rPr>
          <w:rFonts w:hint="default" w:ascii="Times New Roman" w:hAnsi="Times New Roman" w:cs="Times New Roman"/>
        </w:rPr>
        <w:t>设置线上线下安全教育抵扣记分渠道，鼓励渔船参与海上应急救助、抢险救灾并给予奖励分数，实现“惩戒约束+教育引导+正向激励”相结合。</w:t>
      </w:r>
    </w:p>
    <w:p w14:paraId="211DBE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方正楷体_GB2312" w:cs="Times New Roman"/>
        </w:rPr>
        <w:t>3. 优化实施路径，提升管理效能。</w:t>
      </w:r>
      <w:r>
        <w:rPr>
          <w:rFonts w:hint="default" w:ascii="Times New Roman" w:hAnsi="Times New Roman" w:cs="Times New Roman"/>
          <w:b/>
          <w:bCs/>
        </w:rPr>
        <w:t>一是创新记分实施方式，</w:t>
      </w:r>
      <w:r>
        <w:rPr>
          <w:rFonts w:hint="default" w:ascii="Times New Roman" w:hAnsi="Times New Roman" w:cs="Times New Roman"/>
        </w:rPr>
        <w:t>采用“系统自动识别为主、人工录入为辅”的模式，依托“苏渔安”系统实现违规信息实时抓取记分，对特殊场景违规在3个工作日内完成人工录入，确保记分及时准确。</w:t>
      </w:r>
      <w:r>
        <w:rPr>
          <w:rFonts w:hint="default" w:ascii="Times New Roman" w:hAnsi="Times New Roman" w:cs="Times New Roman"/>
          <w:b/>
          <w:bCs/>
        </w:rPr>
        <w:t>二是规范记分管理流程，</w:t>
      </w:r>
      <w:r>
        <w:rPr>
          <w:rFonts w:hint="default" w:ascii="Times New Roman" w:hAnsi="Times New Roman" w:cs="Times New Roman"/>
        </w:rPr>
        <w:t>明确跨部门通报信息录入、记分告知、复核、变更撤销等程序，保障管理工作有序开展。</w:t>
      </w:r>
      <w:r>
        <w:rPr>
          <w:rFonts w:hint="default" w:ascii="Times New Roman" w:hAnsi="Times New Roman" w:cs="Times New Roman"/>
          <w:b/>
          <w:bCs/>
        </w:rPr>
        <w:t>三是完善满分学习制度，</w:t>
      </w:r>
      <w:r>
        <w:rPr>
          <w:rFonts w:hint="default" w:ascii="Times New Roman" w:hAnsi="Times New Roman" w:cs="Times New Roman"/>
        </w:rPr>
        <w:t>规定记满12分需参加不少于5天的线下学习，每多记12分学习期限增加5天，考核合格且隐患整改到位后予以清零，强化安全知识普及。</w:t>
      </w:r>
      <w:r>
        <w:rPr>
          <w:rFonts w:hint="default" w:ascii="Times New Roman" w:hAnsi="Times New Roman" w:cs="Times New Roman"/>
          <w:b/>
          <w:bCs/>
        </w:rPr>
        <w:t>四是明确记分转移与结转规则，</w:t>
      </w:r>
      <w:r>
        <w:rPr>
          <w:rFonts w:hint="default" w:ascii="Times New Roman" w:hAnsi="Times New Roman" w:cs="Times New Roman"/>
        </w:rPr>
        <w:t>渔船所有权变更后记分随船转移，周期届满未整改完毕的记分转入下一周期，确保监管连续性。</w:t>
      </w:r>
    </w:p>
    <w:sectPr>
      <w:pgSz w:w="11906" w:h="16838"/>
      <w:pgMar w:top="2098" w:right="1474" w:bottom="1984" w:left="1587" w:header="851" w:footer="1701" w:gutter="0"/>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A87EA70-87AA-4DBF-ADBD-6861255A85F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公文小标宋">
    <w:panose1 w:val="02000500000000000000"/>
    <w:charset w:val="86"/>
    <w:family w:val="auto"/>
    <w:pitch w:val="default"/>
    <w:sig w:usb0="A00002BF" w:usb1="38CF7CFA" w:usb2="00000016" w:usb3="00000000" w:csb0="00040001" w:csb1="00000000"/>
    <w:embedRegular r:id="rId2" w:fontKey="{9B3B911D-0B04-40AB-95E6-AB41215D0FAB}"/>
  </w:font>
  <w:font w:name="方正楷体_GB2312">
    <w:panose1 w:val="02000000000000000000"/>
    <w:charset w:val="86"/>
    <w:family w:val="auto"/>
    <w:pitch w:val="default"/>
    <w:sig w:usb0="A00002BF" w:usb1="184F6CFA" w:usb2="00000012" w:usb3="00000000" w:csb0="00040001" w:csb1="00000000"/>
    <w:embedRegular r:id="rId3" w:fontKey="{CB9F0928-705E-485D-B370-746C4D543160}"/>
  </w:font>
  <w:font w:name="方正黑体_GBK">
    <w:panose1 w:val="03000509000000000000"/>
    <w:charset w:val="86"/>
    <w:family w:val="auto"/>
    <w:pitch w:val="default"/>
    <w:sig w:usb0="00000001" w:usb1="080E0000" w:usb2="00000000" w:usb3="00000000" w:csb0="00040000" w:csb1="00000000"/>
    <w:embedRegular r:id="rId4" w:fontKey="{73964B8D-4D0E-4290-80EF-B45D1AD3DA1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E34023"/>
    <w:rsid w:val="45F545F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仿宋_GB2312"/>
      <w:kern w:val="2"/>
      <w:sz w:val="32"/>
      <w:szCs w:val="32"/>
      <w:lang w:val="en-US" w:eastAsia="zh-CN" w:bidi="ar-SA"/>
    </w:rPr>
  </w:style>
  <w:style w:type="character" w:default="1" w:styleId="3">
    <w:name w:val="Default Paragraph Font"/>
    <w:qFormat/>
    <w:uiPriority w:val="0"/>
  </w:style>
  <w:style w:type="table" w:default="1" w:styleId="2">
    <w:name w:val="Normal Table"/>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1755</Words>
  <Characters>1784</Characters>
  <Paragraphs>16</Paragraphs>
  <TotalTime>0</TotalTime>
  <ScaleCrop>false</ScaleCrop>
  <LinksUpToDate>false</LinksUpToDate>
  <CharactersWithSpaces>1793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2026-02-04T06:30:00Z</dcterms:created>
  <dc:creator>单梅</dc:creator>
  <cp:lastModifiedBy>叶苏</cp:lastModifiedBy>
  <dcterms:modified xsi:type="dcterms:W3CDTF">2026-02-06T06:21:50Z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4C174B8AAA16484DBA1E733A4E1E15F8_13</vt:lpwstr>
  </property>
  <property fmtid="{D5CDD505-2E9C-101B-9397-08002B2CF9AE}" pid="4" name="KSOTemplateDocerSaveRecord">
    <vt:lpwstr>eyJoZGlkIjoiNTQ1YmFlY2Y1ZDcyNmQ5YzVhYzM5NzdlYTk1YWE4ZjQiLCJ1c2VySWQiOiIyNjM3NDEyMDkifQ==</vt:lpwstr>
  </property>
</Properties>
</file>