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topLinePunct w:val="0"/>
        <w:autoSpaceDE/>
        <w:bidi w:val="0"/>
        <w:adjustRightInd/>
        <w:snapToGrid/>
        <w:spacing w:line="560" w:lineRule="exact"/>
        <w:textAlignment w:val="auto"/>
        <w:rPr>
          <w:rFonts w:hint="default" w:ascii="Times New Roman" w:hAnsi="Times New Roman" w:eastAsia="方正黑体_GBK" w:cs="Times New Roman"/>
          <w:color w:val="auto"/>
          <w:sz w:val="32"/>
          <w:szCs w:val="32"/>
        </w:rPr>
      </w:pPr>
      <w:r>
        <w:rPr>
          <w:rFonts w:hint="default" w:ascii="Times New Roman" w:hAnsi="Times New Roman" w:eastAsia="方正黑体_GBK" w:cs="Times New Roman"/>
          <w:color w:val="auto"/>
          <w:sz w:val="32"/>
          <w:szCs w:val="32"/>
        </w:rPr>
        <w:t>附件1</w:t>
      </w:r>
    </w:p>
    <w:p>
      <w:pPr>
        <w:keepNext w:val="0"/>
        <w:keepLines w:val="0"/>
        <w:pageBreakBefore w:val="0"/>
        <w:widowControl w:val="0"/>
        <w:kinsoku/>
        <w:wordWrap/>
        <w:topLinePunct w:val="0"/>
        <w:autoSpaceDE/>
        <w:bidi w:val="0"/>
        <w:adjustRightInd/>
        <w:snapToGrid/>
        <w:spacing w:line="560" w:lineRule="exact"/>
        <w:textAlignment w:val="auto"/>
        <w:rPr>
          <w:rFonts w:hint="default" w:ascii="Times New Roman" w:hAnsi="Times New Roman" w:eastAsia="方正仿宋_GBK" w:cs="Times New Roman"/>
          <w:color w:val="auto"/>
          <w:sz w:val="32"/>
          <w:szCs w:val="32"/>
        </w:rPr>
      </w:pPr>
    </w:p>
    <w:p>
      <w:pPr>
        <w:keepNext w:val="0"/>
        <w:keepLines w:val="0"/>
        <w:pageBreakBefore w:val="0"/>
        <w:widowControl w:val="0"/>
        <w:kinsoku/>
        <w:wordWrap/>
        <w:topLinePunct w:val="0"/>
        <w:autoSpaceDE/>
        <w:bidi w:val="0"/>
        <w:adjustRightInd/>
        <w:snapToGrid/>
        <w:spacing w:line="560" w:lineRule="exact"/>
        <w:jc w:val="center"/>
        <w:textAlignment w:val="auto"/>
        <w:rPr>
          <w:rFonts w:hint="default" w:ascii="Times New Roman" w:hAnsi="Times New Roman" w:eastAsia="方正小标宋_GBK" w:cs="Times New Roman"/>
          <w:color w:val="auto"/>
          <w:sz w:val="40"/>
          <w:szCs w:val="40"/>
        </w:rPr>
      </w:pPr>
      <w:bookmarkStart w:id="0" w:name="_GoBack"/>
      <w:r>
        <w:rPr>
          <w:rFonts w:hint="default" w:ascii="Times New Roman" w:hAnsi="Times New Roman" w:eastAsia="方正小标宋_GBK" w:cs="Times New Roman"/>
          <w:color w:val="auto"/>
          <w:sz w:val="40"/>
          <w:szCs w:val="40"/>
        </w:rPr>
        <w:t>2024年江苏省水稻科学施肥指导意见</w:t>
      </w:r>
    </w:p>
    <w:bookmarkEnd w:id="0"/>
    <w:p>
      <w:pPr>
        <w:keepNext w:val="0"/>
        <w:keepLines w:val="0"/>
        <w:pageBreakBefore w:val="0"/>
        <w:widowControl w:val="0"/>
        <w:kinsoku/>
        <w:wordWrap/>
        <w:topLinePunct w:val="0"/>
        <w:autoSpaceDE/>
        <w:bidi w:val="0"/>
        <w:adjustRightInd/>
        <w:snapToGrid/>
        <w:spacing w:line="560" w:lineRule="exact"/>
        <w:ind w:firstLine="640" w:firstLineChars="200"/>
        <w:textAlignment w:val="auto"/>
        <w:rPr>
          <w:rFonts w:hint="default" w:ascii="Times New Roman" w:hAnsi="Times New Roman" w:eastAsia="方正仿宋_GBK" w:cs="Times New Roman"/>
          <w:color w:val="auto"/>
          <w:sz w:val="32"/>
          <w:szCs w:val="32"/>
        </w:rPr>
      </w:pPr>
    </w:p>
    <w:p>
      <w:pPr>
        <w:keepNext w:val="0"/>
        <w:keepLines w:val="0"/>
        <w:pageBreakBefore w:val="0"/>
        <w:widowControl w:val="0"/>
        <w:kinsoku/>
        <w:wordWrap/>
        <w:topLinePunct w:val="0"/>
        <w:autoSpaceDE/>
        <w:bidi w:val="0"/>
        <w:adjustRightInd/>
        <w:snapToGrid/>
        <w:spacing w:line="560" w:lineRule="exact"/>
        <w:ind w:firstLine="640" w:firstLineChars="200"/>
        <w:textAlignment w:val="auto"/>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仿宋_GBK" w:cs="Times New Roman"/>
          <w:color w:val="auto"/>
          <w:sz w:val="32"/>
          <w:szCs w:val="32"/>
        </w:rPr>
        <w:t>水稻是</w:t>
      </w:r>
      <w:r>
        <w:rPr>
          <w:rFonts w:hint="eastAsia" w:ascii="Times New Roman" w:hAnsi="Times New Roman" w:eastAsia="方正仿宋_GBK" w:cs="Times New Roman"/>
          <w:color w:val="auto"/>
          <w:sz w:val="32"/>
          <w:szCs w:val="32"/>
          <w:lang w:val="en-US" w:eastAsia="zh-CN"/>
        </w:rPr>
        <w:t>我省主要</w:t>
      </w:r>
      <w:r>
        <w:rPr>
          <w:rFonts w:hint="default" w:ascii="Times New Roman" w:hAnsi="Times New Roman" w:eastAsia="方正仿宋_GBK" w:cs="Times New Roman"/>
          <w:color w:val="auto"/>
          <w:sz w:val="32"/>
          <w:szCs w:val="32"/>
        </w:rPr>
        <w:t>粮食作物，常年</w:t>
      </w:r>
      <w:r>
        <w:rPr>
          <w:rFonts w:hint="default" w:ascii="Times New Roman" w:hAnsi="Times New Roman" w:eastAsia="方正仿宋_GBK" w:cs="Times New Roman"/>
          <w:color w:val="auto"/>
          <w:sz w:val="32"/>
          <w:szCs w:val="32"/>
          <w:lang w:val="en-US" w:eastAsia="zh-CN"/>
        </w:rPr>
        <w:t>播种</w:t>
      </w:r>
      <w:r>
        <w:rPr>
          <w:rFonts w:hint="default" w:ascii="Times New Roman" w:hAnsi="Times New Roman" w:eastAsia="方正仿宋_GBK" w:cs="Times New Roman"/>
          <w:color w:val="auto"/>
          <w:sz w:val="32"/>
          <w:szCs w:val="32"/>
        </w:rPr>
        <w:t>面积达3300万亩以上</w:t>
      </w:r>
      <w:r>
        <w:rPr>
          <w:rFonts w:hint="eastAsia" w:ascii="Times New Roman" w:hAnsi="Times New Roman" w:eastAsia="方正仿宋_GBK" w:cs="Times New Roman"/>
          <w:color w:val="auto"/>
          <w:sz w:val="32"/>
          <w:szCs w:val="32"/>
          <w:lang w:eastAsia="zh-CN"/>
        </w:rPr>
        <w:t>。</w:t>
      </w:r>
      <w:r>
        <w:rPr>
          <w:rFonts w:hint="default" w:ascii="Times New Roman" w:hAnsi="Times New Roman" w:eastAsia="方正仿宋_GBK" w:cs="Times New Roman"/>
          <w:color w:val="auto"/>
          <w:sz w:val="32"/>
          <w:szCs w:val="32"/>
          <w:lang w:val="en-US" w:eastAsia="zh-CN"/>
        </w:rPr>
        <w:t>为</w:t>
      </w:r>
      <w:r>
        <w:rPr>
          <w:rFonts w:hint="eastAsia" w:ascii="Times New Roman" w:hAnsi="Times New Roman" w:eastAsia="方正仿宋_GBK" w:cs="Times New Roman"/>
          <w:color w:val="auto"/>
          <w:sz w:val="32"/>
          <w:szCs w:val="32"/>
          <w:lang w:val="en-US" w:eastAsia="zh-CN"/>
        </w:rPr>
        <w:t>推动水稻</w:t>
      </w:r>
      <w:r>
        <w:rPr>
          <w:rFonts w:ascii="Times New Roman" w:hAnsi="Times New Roman" w:eastAsia="方正仿宋_GBK" w:cs="Times New Roman"/>
          <w:sz w:val="32"/>
          <w:szCs w:val="32"/>
        </w:rPr>
        <w:t>单产提升</w:t>
      </w:r>
      <w:r>
        <w:rPr>
          <w:rFonts w:hint="eastAsia" w:ascii="Times New Roman" w:hAnsi="Times New Roman" w:eastAsia="方正仿宋_GBK" w:cs="Times New Roman"/>
          <w:sz w:val="32"/>
          <w:szCs w:val="32"/>
          <w:lang w:eastAsia="zh-CN"/>
        </w:rPr>
        <w:t>，促进</w:t>
      </w:r>
      <w:r>
        <w:rPr>
          <w:rFonts w:ascii="Times New Roman" w:hAnsi="Times New Roman" w:eastAsia="方正仿宋_GBK" w:cs="Times New Roman"/>
          <w:sz w:val="32"/>
          <w:szCs w:val="32"/>
        </w:rPr>
        <w:t>肥</w:t>
      </w:r>
      <w:r>
        <w:rPr>
          <w:rFonts w:hint="eastAsia" w:ascii="Times New Roman" w:hAnsi="Times New Roman" w:eastAsia="方正仿宋_GBK" w:cs="Times New Roman"/>
          <w:sz w:val="32"/>
          <w:szCs w:val="32"/>
          <w:lang w:eastAsia="zh-CN"/>
        </w:rPr>
        <w:t>料</w:t>
      </w:r>
      <w:r>
        <w:rPr>
          <w:rFonts w:ascii="Times New Roman" w:hAnsi="Times New Roman" w:eastAsia="方正仿宋_GBK" w:cs="Times New Roman"/>
          <w:sz w:val="32"/>
          <w:szCs w:val="32"/>
        </w:rPr>
        <w:t>高效利用</w:t>
      </w:r>
      <w:r>
        <w:rPr>
          <w:rFonts w:hint="default" w:ascii="Times New Roman" w:hAnsi="Times New Roman" w:eastAsia="方正仿宋_GBK" w:cs="Times New Roman"/>
          <w:color w:val="auto"/>
          <w:sz w:val="32"/>
          <w:szCs w:val="32"/>
          <w:lang w:val="en-US" w:eastAsia="zh-CN"/>
        </w:rPr>
        <w:t>，现制定水稻科学施肥指导意见如下。</w:t>
      </w:r>
    </w:p>
    <w:p>
      <w:pPr>
        <w:keepNext w:val="0"/>
        <w:keepLines w:val="0"/>
        <w:pageBreakBefore w:val="0"/>
        <w:widowControl w:val="0"/>
        <w:kinsoku/>
        <w:wordWrap/>
        <w:topLinePunct w:val="0"/>
        <w:autoSpaceDE/>
        <w:bidi w:val="0"/>
        <w:adjustRightInd/>
        <w:snapToGrid/>
        <w:spacing w:line="560" w:lineRule="exact"/>
        <w:ind w:firstLine="640" w:firstLineChars="200"/>
        <w:textAlignment w:val="auto"/>
        <w:rPr>
          <w:rFonts w:hint="default" w:ascii="Times New Roman" w:hAnsi="Times New Roman" w:eastAsia="方正黑体_GBK" w:cs="Times New Roman"/>
          <w:color w:val="auto"/>
          <w:sz w:val="32"/>
          <w:szCs w:val="32"/>
          <w:lang w:val="en-US" w:eastAsia="zh-CN"/>
        </w:rPr>
      </w:pPr>
      <w:r>
        <w:rPr>
          <w:rFonts w:hint="default" w:ascii="Times New Roman" w:hAnsi="Times New Roman" w:eastAsia="方正黑体_GBK" w:cs="Times New Roman"/>
          <w:color w:val="auto"/>
          <w:sz w:val="32"/>
          <w:szCs w:val="32"/>
          <w:lang w:val="en-US" w:eastAsia="zh-CN"/>
        </w:rPr>
        <w:t>一、施肥原则</w:t>
      </w:r>
    </w:p>
    <w:p>
      <w:pPr>
        <w:keepNext w:val="0"/>
        <w:keepLines w:val="0"/>
        <w:pageBreakBefore w:val="0"/>
        <w:widowControl w:val="0"/>
        <w:kinsoku/>
        <w:wordWrap/>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根据水稻品种、土壤肥力基础、目标产量</w:t>
      </w:r>
      <w:r>
        <w:rPr>
          <w:rFonts w:hint="default" w:ascii="Times New Roman" w:hAnsi="Times New Roman" w:eastAsia="方正仿宋_GBK" w:cs="Times New Roman"/>
          <w:color w:val="auto"/>
          <w:sz w:val="32"/>
          <w:szCs w:val="32"/>
          <w:lang w:val="en-US" w:eastAsia="zh-CN"/>
        </w:rPr>
        <w:t>以及施肥方式、肥料类型</w:t>
      </w:r>
      <w:r>
        <w:rPr>
          <w:rFonts w:hint="default" w:ascii="Times New Roman" w:hAnsi="Times New Roman" w:eastAsia="方正仿宋_GBK" w:cs="Times New Roman"/>
          <w:color w:val="auto"/>
          <w:sz w:val="32"/>
          <w:szCs w:val="32"/>
        </w:rPr>
        <w:t>等因素，合理确定氮、磷、钾及硅、锌等大中微量元素的用量及</w:t>
      </w:r>
      <w:r>
        <w:rPr>
          <w:rFonts w:hint="default" w:ascii="Times New Roman" w:hAnsi="Times New Roman" w:eastAsia="方正仿宋_GBK" w:cs="Times New Roman"/>
          <w:color w:val="auto"/>
          <w:sz w:val="32"/>
          <w:szCs w:val="32"/>
          <w:lang w:val="en-US" w:eastAsia="zh-CN"/>
        </w:rPr>
        <w:t>运筹</w:t>
      </w:r>
      <w:r>
        <w:rPr>
          <w:rFonts w:hint="default" w:ascii="Times New Roman" w:hAnsi="Times New Roman" w:eastAsia="方正仿宋_GBK" w:cs="Times New Roman"/>
          <w:color w:val="auto"/>
          <w:sz w:val="32"/>
          <w:szCs w:val="32"/>
        </w:rPr>
        <w:t>比例。</w:t>
      </w:r>
    </w:p>
    <w:p>
      <w:pPr>
        <w:keepNext w:val="0"/>
        <w:keepLines w:val="0"/>
        <w:pageBreakBefore w:val="0"/>
        <w:widowControl w:val="0"/>
        <w:numPr>
          <w:ilvl w:val="0"/>
          <w:numId w:val="1"/>
        </w:numPr>
        <w:kinsoku/>
        <w:wordWrap/>
        <w:overflowPunct w:val="0"/>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color w:val="000000" w:themeColor="text1"/>
          <w:sz w:val="32"/>
          <w:szCs w:val="32"/>
          <w14:textFill>
            <w14:solidFill>
              <w14:schemeClr w14:val="tx1"/>
            </w14:solidFill>
          </w14:textFill>
        </w:rPr>
      </w:pPr>
      <w:r>
        <w:rPr>
          <w:rFonts w:hint="default" w:ascii="Times New Roman" w:hAnsi="Times New Roman" w:eastAsia="方正仿宋_GBK" w:cs="Times New Roman"/>
          <w:color w:val="auto"/>
          <w:sz w:val="32"/>
          <w:szCs w:val="32"/>
        </w:rPr>
        <w:t>推荐粳稻全生育期氮肥亩用量16</w:t>
      </w:r>
      <w:r>
        <w:rPr>
          <w:rFonts w:hint="eastAsia" w:ascii="Times New Roman" w:hAnsi="Times New Roman" w:eastAsia="方正仿宋_GBK" w:cs="Times New Roman"/>
          <w:bCs/>
          <w:color w:val="000000"/>
          <w:sz w:val="32"/>
          <w:szCs w:val="32"/>
          <w:lang w:val="en-US" w:eastAsia="zh-CN"/>
        </w:rPr>
        <w:t>~</w:t>
      </w:r>
      <w:r>
        <w:rPr>
          <w:rFonts w:hint="default" w:ascii="Times New Roman" w:hAnsi="Times New Roman" w:eastAsia="方正仿宋_GBK" w:cs="Times New Roman"/>
          <w:color w:val="auto"/>
          <w:sz w:val="32"/>
          <w:szCs w:val="32"/>
        </w:rPr>
        <w:t>18公斤（折纯，下同），籼稻亩用量12</w:t>
      </w:r>
      <w:r>
        <w:rPr>
          <w:rFonts w:hint="eastAsia" w:ascii="Times New Roman" w:hAnsi="Times New Roman" w:eastAsia="方正仿宋_GBK" w:cs="Times New Roman"/>
          <w:bCs/>
          <w:color w:val="000000"/>
          <w:sz w:val="32"/>
          <w:szCs w:val="32"/>
          <w:lang w:val="en-US" w:eastAsia="zh-CN"/>
        </w:rPr>
        <w:t>~</w:t>
      </w:r>
      <w:r>
        <w:rPr>
          <w:rFonts w:hint="default" w:ascii="Times New Roman" w:hAnsi="Times New Roman" w:eastAsia="方正仿宋_GBK" w:cs="Times New Roman"/>
          <w:color w:val="auto"/>
          <w:sz w:val="32"/>
          <w:szCs w:val="32"/>
        </w:rPr>
        <w:t>1</w:t>
      </w:r>
      <w:r>
        <w:rPr>
          <w:rFonts w:hint="eastAsia" w:ascii="Times New Roman" w:hAnsi="Times New Roman" w:eastAsia="方正仿宋_GBK" w:cs="Times New Roman"/>
          <w:color w:val="auto"/>
          <w:sz w:val="32"/>
          <w:szCs w:val="32"/>
          <w:lang w:val="en-US" w:eastAsia="zh-CN"/>
        </w:rPr>
        <w:t>6</w:t>
      </w:r>
      <w:r>
        <w:rPr>
          <w:rFonts w:hint="default" w:ascii="Times New Roman" w:hAnsi="Times New Roman" w:eastAsia="方正仿宋_GBK" w:cs="Times New Roman"/>
          <w:color w:val="auto"/>
          <w:sz w:val="32"/>
          <w:szCs w:val="32"/>
        </w:rPr>
        <w:t>公斤</w:t>
      </w:r>
      <w:r>
        <w:rPr>
          <w:rFonts w:hint="default" w:ascii="Times New Roman" w:hAnsi="Times New Roman" w:eastAsia="方正仿宋_GBK" w:cs="Times New Roman"/>
          <w:color w:val="auto"/>
          <w:sz w:val="32"/>
          <w:szCs w:val="32"/>
          <w:lang w:eastAsia="zh-CN"/>
        </w:rPr>
        <w:t>；</w:t>
      </w:r>
      <w:r>
        <w:rPr>
          <w:rFonts w:hint="default" w:ascii="Times New Roman" w:hAnsi="Times New Roman" w:eastAsia="方正仿宋_GBK" w:cs="Times New Roman"/>
          <w:color w:val="auto"/>
          <w:sz w:val="32"/>
          <w:szCs w:val="32"/>
        </w:rPr>
        <w:t>磷肥亩用量3</w:t>
      </w:r>
      <w:r>
        <w:rPr>
          <w:rFonts w:hint="eastAsia" w:ascii="Times New Roman" w:hAnsi="Times New Roman" w:eastAsia="方正仿宋_GBK" w:cs="Times New Roman"/>
          <w:bCs/>
          <w:color w:val="000000"/>
          <w:sz w:val="32"/>
          <w:szCs w:val="32"/>
          <w:lang w:val="en-US" w:eastAsia="zh-CN"/>
        </w:rPr>
        <w:t>~</w:t>
      </w:r>
      <w:r>
        <w:rPr>
          <w:rFonts w:hint="default" w:ascii="Times New Roman" w:hAnsi="Times New Roman" w:eastAsia="方正仿宋_GBK" w:cs="Times New Roman"/>
          <w:color w:val="auto"/>
          <w:sz w:val="32"/>
          <w:szCs w:val="32"/>
        </w:rPr>
        <w:t>5公斤；钾肥亩用量4</w:t>
      </w:r>
      <w:r>
        <w:rPr>
          <w:rFonts w:hint="eastAsia" w:ascii="Times New Roman" w:hAnsi="Times New Roman" w:eastAsia="方正仿宋_GBK" w:cs="Times New Roman"/>
          <w:bCs/>
          <w:color w:val="000000"/>
          <w:sz w:val="32"/>
          <w:szCs w:val="32"/>
          <w:lang w:val="en-US" w:eastAsia="zh-CN"/>
        </w:rPr>
        <w:t>~</w:t>
      </w:r>
      <w:r>
        <w:rPr>
          <w:rFonts w:hint="default" w:ascii="Times New Roman" w:hAnsi="Times New Roman" w:eastAsia="方正仿宋_GBK" w:cs="Times New Roman"/>
          <w:color w:val="auto"/>
          <w:sz w:val="32"/>
          <w:szCs w:val="32"/>
        </w:rPr>
        <w:t>6公斤</w:t>
      </w:r>
      <w:r>
        <w:rPr>
          <w:rFonts w:hint="default" w:ascii="Times New Roman" w:hAnsi="Times New Roman" w:eastAsia="方正仿宋_GBK" w:cs="Times New Roman"/>
          <w:color w:val="auto"/>
          <w:sz w:val="32"/>
          <w:szCs w:val="32"/>
          <w:lang w:eastAsia="zh-CN"/>
        </w:rPr>
        <w:t>。</w:t>
      </w:r>
    </w:p>
    <w:p>
      <w:pPr>
        <w:keepNext w:val="0"/>
        <w:keepLines w:val="0"/>
        <w:pageBreakBefore w:val="0"/>
        <w:widowControl w:val="0"/>
        <w:numPr>
          <w:ilvl w:val="0"/>
          <w:numId w:val="1"/>
        </w:numPr>
        <w:kinsoku/>
        <w:wordWrap/>
        <w:overflowPunct w:val="0"/>
        <w:topLinePunct w:val="0"/>
        <w:autoSpaceDE/>
        <w:autoSpaceDN/>
        <w:bidi w:val="0"/>
        <w:adjustRightInd/>
        <w:snapToGrid/>
        <w:spacing w:line="560" w:lineRule="exact"/>
        <w:ind w:left="0" w:leftChars="0" w:firstLine="664" w:firstLineChars="200"/>
        <w:textAlignment w:val="auto"/>
        <w:rPr>
          <w:rFonts w:hint="default" w:ascii="Times New Roman" w:hAnsi="Times New Roman" w:eastAsia="方正仿宋_GBK" w:cs="Times New Roman"/>
          <w:color w:val="000000" w:themeColor="text1"/>
          <w:sz w:val="32"/>
          <w:szCs w:val="32"/>
          <w14:textFill>
            <w14:solidFill>
              <w14:schemeClr w14:val="tx1"/>
            </w14:solidFill>
          </w14:textFill>
        </w:rPr>
      </w:pPr>
      <w:r>
        <w:rPr>
          <w:rFonts w:hint="eastAsia" w:ascii="Times New Roman" w:hAnsi="Times New Roman" w:eastAsia="方正仿宋_GBK" w:cs="Times New Roman"/>
          <w:spacing w:val="6"/>
          <w:kern w:val="0"/>
          <w:sz w:val="32"/>
          <w:szCs w:val="32"/>
        </w:rPr>
        <w:t>基肥施用时鼓励施用商品有机肥或充分腐熟的粪肥，</w:t>
      </w:r>
      <w:r>
        <w:rPr>
          <w:rFonts w:hint="eastAsia" w:ascii="Times New Roman" w:hAnsi="Times New Roman" w:eastAsia="方正仿宋_GBK" w:cs="Times New Roman"/>
          <w:color w:val="000000" w:themeColor="text1"/>
          <w:sz w:val="32"/>
          <w:szCs w:val="32"/>
          <w:lang w:eastAsia="zh-CN"/>
          <w14:textFill>
            <w14:solidFill>
              <w14:schemeClr w14:val="tx1"/>
            </w14:solidFill>
          </w14:textFill>
        </w:rPr>
        <w:t>实行</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有机肥部分替代化肥</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。一般</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有机肥替代化肥比例</w:t>
      </w:r>
      <w:r>
        <w:rPr>
          <w:rFonts w:hint="default" w:ascii="Times New Roman" w:hAnsi="Times New Roman" w:eastAsia="方正仿宋_GBK" w:cs="Times New Roman"/>
          <w:color w:val="auto"/>
          <w:sz w:val="32"/>
          <w:szCs w:val="32"/>
        </w:rPr>
        <w:t>（以氮计）</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以</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20</w:t>
      </w:r>
      <w:r>
        <w:rPr>
          <w:rFonts w:hint="default" w:ascii="Times New Roman" w:hAnsi="Times New Roman" w:eastAsia="方正仿宋_GBK" w:cs="Times New Roman"/>
          <w:color w:val="auto"/>
          <w:sz w:val="32"/>
          <w:szCs w:val="32"/>
        </w:rPr>
        <w:t>%</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30%为宜</w:t>
      </w:r>
      <w:r>
        <w:rPr>
          <w:rFonts w:hint="default" w:ascii="Times New Roman" w:hAnsi="Times New Roman" w:eastAsia="方正仿宋_GBK" w:cs="Times New Roman"/>
          <w:color w:val="000000" w:themeColor="text1"/>
          <w:sz w:val="32"/>
          <w:szCs w:val="32"/>
          <w14:textFill>
            <w14:solidFill>
              <w14:schemeClr w14:val="tx1"/>
            </w14:solidFill>
          </w14:textFill>
        </w:rPr>
        <w:t>。</w:t>
      </w:r>
    </w:p>
    <w:p>
      <w:pPr>
        <w:keepNext w:val="0"/>
        <w:keepLines w:val="0"/>
        <w:pageBreakBefore w:val="0"/>
        <w:widowControl w:val="0"/>
        <w:numPr>
          <w:ilvl w:val="0"/>
          <w:numId w:val="1"/>
        </w:numPr>
        <w:kinsoku/>
        <w:wordWrap/>
        <w:overflowPunct w:val="0"/>
        <w:topLinePunct w:val="0"/>
        <w:autoSpaceDE/>
        <w:autoSpaceDN/>
        <w:bidi w:val="0"/>
        <w:adjustRightInd/>
        <w:snapToGrid/>
        <w:spacing w:line="560" w:lineRule="exact"/>
        <w:ind w:left="0" w:leftChars="0" w:firstLine="660" w:firstLineChars="200"/>
        <w:textAlignment w:val="auto"/>
        <w:rPr>
          <w:rFonts w:hint="default" w:ascii="Times New Roman" w:hAnsi="Times New Roman" w:eastAsia="方正仿宋_GBK" w:cs="Times New Roman"/>
          <w:color w:val="000000" w:themeColor="text1"/>
          <w:sz w:val="32"/>
          <w:szCs w:val="32"/>
          <w14:textFill>
            <w14:solidFill>
              <w14:schemeClr w14:val="tx1"/>
            </w14:solidFill>
          </w14:textFill>
        </w:rPr>
      </w:pPr>
      <w:r>
        <w:rPr>
          <w:rFonts w:hint="default" w:ascii="Times New Roman" w:hAnsi="Times New Roman" w:eastAsia="方正仿宋_GBK" w:cs="Times New Roman"/>
          <w:i w:val="0"/>
          <w:iCs w:val="0"/>
          <w:caps w:val="0"/>
          <w:spacing w:val="5"/>
          <w:sz w:val="32"/>
          <w:szCs w:val="32"/>
          <w:shd w:val="clear" w:fill="FFFFFF"/>
        </w:rPr>
        <w:t>有条件的地区采用</w:t>
      </w:r>
      <w:r>
        <w:rPr>
          <w:rFonts w:hint="eastAsia" w:ascii="Times New Roman" w:hAnsi="Times New Roman" w:eastAsia="方正仿宋_GBK" w:cs="Times New Roman"/>
          <w:i w:val="0"/>
          <w:iCs w:val="0"/>
          <w:caps w:val="0"/>
          <w:spacing w:val="5"/>
          <w:sz w:val="32"/>
          <w:szCs w:val="32"/>
          <w:shd w:val="clear" w:fill="FFFFFF"/>
          <w:lang w:val="en-US" w:eastAsia="zh-CN"/>
        </w:rPr>
        <w:t>水稻机插秧侧深施</w:t>
      </w:r>
      <w:r>
        <w:rPr>
          <w:rFonts w:hint="default" w:ascii="Times New Roman" w:hAnsi="Times New Roman" w:eastAsia="方正仿宋_GBK" w:cs="Times New Roman"/>
          <w:i w:val="0"/>
          <w:iCs w:val="0"/>
          <w:caps w:val="0"/>
          <w:spacing w:val="5"/>
          <w:sz w:val="32"/>
          <w:szCs w:val="32"/>
          <w:shd w:val="clear" w:fill="FFFFFF"/>
          <w:lang w:val="en-US" w:eastAsia="zh-CN"/>
        </w:rPr>
        <w:t>缓控释类肥料，全生育期氮肥用量可减少20%左右</w:t>
      </w:r>
      <w:r>
        <w:rPr>
          <w:rFonts w:hint="default" w:ascii="Times New Roman" w:hAnsi="Times New Roman" w:eastAsia="方正仿宋_GBK" w:cs="Times New Roman"/>
          <w:i w:val="0"/>
          <w:iCs w:val="0"/>
          <w:caps w:val="0"/>
          <w:spacing w:val="5"/>
          <w:sz w:val="32"/>
          <w:szCs w:val="32"/>
          <w:shd w:val="clear" w:fill="FFFFFF"/>
        </w:rPr>
        <w:t>。</w:t>
      </w:r>
      <w:r>
        <w:rPr>
          <w:rFonts w:hint="default" w:ascii="Times New Roman" w:hAnsi="Times New Roman" w:eastAsia="方正仿宋_GBK" w:cs="Times New Roman"/>
          <w:i w:val="0"/>
          <w:iCs w:val="0"/>
          <w:caps w:val="0"/>
          <w:spacing w:val="5"/>
          <w:sz w:val="32"/>
          <w:szCs w:val="32"/>
          <w:shd w:val="clear" w:fill="FFFFFF"/>
          <w:lang w:val="en-US" w:eastAsia="zh-CN"/>
        </w:rPr>
        <w:t>鼓励在穗肥时采用营养诊断精准变量施肥技术</w:t>
      </w:r>
      <w:r>
        <w:rPr>
          <w:rFonts w:hint="eastAsia" w:ascii="Times New Roman" w:hAnsi="Times New Roman" w:eastAsia="方正仿宋_GBK" w:cs="Times New Roman"/>
          <w:i w:val="0"/>
          <w:iCs w:val="0"/>
          <w:caps w:val="0"/>
          <w:spacing w:val="5"/>
          <w:sz w:val="32"/>
          <w:szCs w:val="32"/>
          <w:shd w:val="clear" w:fill="FFFFFF"/>
          <w:lang w:val="en-US" w:eastAsia="zh-CN"/>
        </w:rPr>
        <w:t>追肥</w:t>
      </w:r>
      <w:r>
        <w:rPr>
          <w:rFonts w:hint="default" w:ascii="Times New Roman" w:hAnsi="Times New Roman" w:eastAsia="方正仿宋_GBK" w:cs="Times New Roman"/>
          <w:i w:val="0"/>
          <w:iCs w:val="0"/>
          <w:caps w:val="0"/>
          <w:spacing w:val="5"/>
          <w:sz w:val="32"/>
          <w:szCs w:val="32"/>
          <w:shd w:val="clear" w:fill="FFFFFF"/>
          <w:lang w:val="en-US" w:eastAsia="zh-CN"/>
        </w:rPr>
        <w:t>。</w:t>
      </w:r>
    </w:p>
    <w:p>
      <w:pPr>
        <w:keepNext w:val="0"/>
        <w:keepLines w:val="0"/>
        <w:pageBreakBefore w:val="0"/>
        <w:widowControl w:val="0"/>
        <w:kinsoku/>
        <w:wordWrap/>
        <w:overflowPunct w:val="0"/>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pP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4</w:t>
      </w:r>
      <w:r>
        <w:rPr>
          <w:rFonts w:hint="default" w:ascii="Times New Roman" w:hAnsi="Times New Roman" w:eastAsia="方正仿宋_GBK" w:cs="Times New Roman"/>
          <w:color w:val="000000" w:themeColor="text1"/>
          <w:sz w:val="32"/>
          <w:szCs w:val="32"/>
          <w14:textFill>
            <w14:solidFill>
              <w14:schemeClr w14:val="tx1"/>
            </w14:solidFill>
          </w14:textFill>
        </w:rPr>
        <w:t xml:space="preserve">. </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提倡在基肥或追肥时施用含硅、锌等</w:t>
      </w:r>
      <w:r>
        <w:rPr>
          <w:rFonts w:hint="default" w:ascii="Times New Roman" w:hAnsi="Times New Roman" w:eastAsia="方正仿宋_GBK" w:cs="Times New Roman"/>
          <w:color w:val="000000" w:themeColor="text1"/>
          <w:sz w:val="32"/>
          <w:szCs w:val="32"/>
          <w14:textFill>
            <w14:solidFill>
              <w14:schemeClr w14:val="tx1"/>
            </w14:solidFill>
          </w14:textFill>
        </w:rPr>
        <w:t>中微量元素</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肥料，提高作物</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抗逆性和产品产量、</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品质</w:t>
      </w:r>
      <w:r>
        <w:rPr>
          <w:rFonts w:hint="default" w:ascii="Times New Roman" w:hAnsi="Times New Roman" w:eastAsia="方正仿宋_GBK" w:cs="Times New Roman"/>
          <w:color w:val="000000" w:themeColor="text1"/>
          <w:spacing w:val="4"/>
          <w:sz w:val="32"/>
          <w:szCs w:val="32"/>
          <w14:textFill>
            <w14:solidFill>
              <w14:schemeClr w14:val="tx1"/>
            </w14:solidFill>
          </w14:textFill>
        </w:rPr>
        <w:t>。</w:t>
      </w:r>
    </w:p>
    <w:p>
      <w:pPr>
        <w:keepNext w:val="0"/>
        <w:keepLines w:val="0"/>
        <w:pageBreakBefore w:val="0"/>
        <w:widowControl w:val="0"/>
        <w:kinsoku/>
        <w:wordWrap/>
        <w:topLinePunct w:val="0"/>
        <w:autoSpaceDE/>
        <w:bidi w:val="0"/>
        <w:adjustRightInd/>
        <w:snapToGrid/>
        <w:spacing w:line="560" w:lineRule="exact"/>
        <w:ind w:firstLine="640" w:firstLineChars="200"/>
        <w:textAlignment w:val="auto"/>
        <w:rPr>
          <w:rFonts w:hint="default" w:ascii="Times New Roman" w:hAnsi="Times New Roman" w:eastAsia="方正黑体_GBK" w:cs="Times New Roman"/>
          <w:color w:val="auto"/>
          <w:sz w:val="32"/>
          <w:szCs w:val="32"/>
          <w:lang w:val="en-US" w:eastAsia="zh-CN"/>
        </w:rPr>
      </w:pPr>
      <w:r>
        <w:rPr>
          <w:rFonts w:hint="default" w:ascii="Times New Roman" w:hAnsi="Times New Roman" w:eastAsia="方正黑体_GBK" w:cs="Times New Roman"/>
          <w:color w:val="auto"/>
          <w:sz w:val="32"/>
          <w:szCs w:val="32"/>
          <w:lang w:val="en-US" w:eastAsia="zh-CN"/>
        </w:rPr>
        <w:t>二、施肥建议</w:t>
      </w:r>
    </w:p>
    <w:p>
      <w:pPr>
        <w:keepNext w:val="0"/>
        <w:keepLines w:val="0"/>
        <w:pageBreakBefore w:val="0"/>
        <w:widowControl w:val="0"/>
        <w:kinsoku/>
        <w:wordWrap/>
        <w:topLinePunct w:val="0"/>
        <w:autoSpaceDE/>
        <w:bidi w:val="0"/>
        <w:adjustRightInd/>
        <w:snapToGrid/>
        <w:spacing w:line="560" w:lineRule="exact"/>
        <w:ind w:firstLine="640" w:firstLineChars="200"/>
        <w:textAlignment w:val="auto"/>
        <w:rPr>
          <w:rFonts w:hint="default" w:ascii="Times New Roman" w:hAnsi="Times New Roman" w:eastAsia="方正楷体_GBK" w:cs="Times New Roman"/>
          <w:color w:val="auto"/>
          <w:sz w:val="32"/>
          <w:szCs w:val="32"/>
          <w:lang w:val="en-US" w:eastAsia="zh-CN"/>
        </w:rPr>
      </w:pPr>
      <w:r>
        <w:rPr>
          <w:rFonts w:hint="default" w:ascii="Times New Roman" w:hAnsi="Times New Roman" w:eastAsia="方正楷体_GBK" w:cs="Times New Roman"/>
          <w:color w:val="auto"/>
          <w:sz w:val="32"/>
          <w:szCs w:val="32"/>
          <w:lang w:val="en-US" w:eastAsia="zh-CN"/>
        </w:rPr>
        <w:t>（一）基</w:t>
      </w:r>
      <w:r>
        <w:rPr>
          <w:rFonts w:hint="eastAsia" w:ascii="Times New Roman" w:hAnsi="Times New Roman" w:eastAsia="方正楷体_GBK" w:cs="Times New Roman"/>
          <w:color w:val="auto"/>
          <w:sz w:val="32"/>
          <w:szCs w:val="32"/>
          <w:lang w:val="en-US" w:eastAsia="zh-CN"/>
        </w:rPr>
        <w:t>蘖</w:t>
      </w:r>
      <w:r>
        <w:rPr>
          <w:rFonts w:hint="default" w:ascii="Times New Roman" w:hAnsi="Times New Roman" w:eastAsia="方正楷体_GBK" w:cs="Times New Roman"/>
          <w:color w:val="auto"/>
          <w:sz w:val="32"/>
          <w:szCs w:val="32"/>
          <w:lang w:val="en-US" w:eastAsia="zh-CN"/>
        </w:rPr>
        <w:t>肥</w:t>
      </w:r>
    </w:p>
    <w:p>
      <w:pPr>
        <w:keepNext w:val="0"/>
        <w:keepLines w:val="0"/>
        <w:pageBreakBefore w:val="0"/>
        <w:widowControl w:val="0"/>
        <w:kinsoku/>
        <w:wordWrap/>
        <w:topLinePunct w:val="0"/>
        <w:autoSpaceDE/>
        <w:bidi w:val="0"/>
        <w:adjustRightInd/>
        <w:snapToGrid/>
        <w:spacing w:line="560" w:lineRule="exact"/>
        <w:ind w:firstLine="640" w:firstLineChars="200"/>
        <w:textAlignment w:val="auto"/>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仿宋_GBK" w:cs="Times New Roman"/>
          <w:b/>
          <w:bCs/>
          <w:color w:val="auto"/>
          <w:sz w:val="32"/>
          <w:szCs w:val="32"/>
          <w:lang w:val="en-US" w:eastAsia="zh-CN"/>
        </w:rPr>
        <w:t>1.</w:t>
      </w:r>
      <w:r>
        <w:rPr>
          <w:rFonts w:hint="eastAsia" w:ascii="Times New Roman" w:hAnsi="Times New Roman" w:eastAsia="方正仿宋_GBK" w:cs="Times New Roman"/>
          <w:b/>
          <w:bCs/>
          <w:color w:val="auto"/>
          <w:sz w:val="32"/>
          <w:szCs w:val="32"/>
          <w:lang w:val="en-US" w:eastAsia="zh-CN"/>
        </w:rPr>
        <w:t xml:space="preserve"> </w:t>
      </w:r>
      <w:r>
        <w:rPr>
          <w:rFonts w:hint="default" w:ascii="Times New Roman" w:hAnsi="Times New Roman" w:eastAsia="方正仿宋_GBK" w:cs="Times New Roman"/>
          <w:b/>
          <w:bCs/>
          <w:color w:val="auto"/>
          <w:sz w:val="32"/>
          <w:szCs w:val="32"/>
          <w:lang w:val="en-US" w:eastAsia="zh-CN"/>
        </w:rPr>
        <w:t>测土配方施肥。</w:t>
      </w:r>
      <w:r>
        <w:rPr>
          <w:rFonts w:hint="default" w:ascii="Times New Roman" w:hAnsi="Times New Roman" w:eastAsia="方正仿宋_GBK" w:cs="Times New Roman"/>
          <w:b w:val="0"/>
          <w:bCs w:val="0"/>
          <w:color w:val="auto"/>
          <w:sz w:val="32"/>
          <w:szCs w:val="32"/>
          <w:lang w:val="en-US" w:eastAsia="zh-CN"/>
        </w:rPr>
        <w:t>基肥应选用与当地农业农村部门推荐的水稻作物基肥主推配方一致或相近的配方肥</w:t>
      </w:r>
      <w:r>
        <w:rPr>
          <w:rFonts w:hint="eastAsia" w:ascii="Times New Roman" w:hAnsi="Times New Roman" w:eastAsia="方正仿宋_GBK" w:cs="Times New Roman"/>
          <w:b w:val="0"/>
          <w:bCs w:val="0"/>
          <w:color w:val="auto"/>
          <w:sz w:val="32"/>
          <w:szCs w:val="32"/>
          <w:lang w:val="en-US" w:eastAsia="zh-CN"/>
        </w:rPr>
        <w:t>（不同农区基肥主推配方见苏农便〔2024〕94号文件）</w:t>
      </w:r>
      <w:r>
        <w:rPr>
          <w:rFonts w:hint="default" w:ascii="Times New Roman" w:hAnsi="Times New Roman" w:eastAsia="方正仿宋_GBK" w:cs="Times New Roman"/>
          <w:b w:val="0"/>
          <w:bCs w:val="0"/>
          <w:color w:val="auto"/>
          <w:sz w:val="32"/>
          <w:szCs w:val="32"/>
          <w:lang w:val="en-US" w:eastAsia="zh-CN"/>
        </w:rPr>
        <w:t>。</w:t>
      </w:r>
      <w:r>
        <w:rPr>
          <w:rFonts w:hint="eastAsia" w:ascii="Times New Roman" w:hAnsi="Times New Roman" w:eastAsia="方正仿宋_GBK" w:cs="Times New Roman"/>
          <w:b w:val="0"/>
          <w:bCs w:val="0"/>
          <w:color w:val="auto"/>
          <w:sz w:val="32"/>
          <w:szCs w:val="32"/>
          <w:lang w:val="en-US" w:eastAsia="zh-CN"/>
        </w:rPr>
        <w:t>氮肥基蘖肥占水稻全生育期比例高肥力土壤为45%</w:t>
      </w:r>
      <w:r>
        <w:rPr>
          <w:rFonts w:hint="eastAsia" w:ascii="Times New Roman" w:hAnsi="Times New Roman" w:eastAsia="方正仿宋_GBK" w:cs="Times New Roman"/>
          <w:bCs/>
          <w:color w:val="000000"/>
          <w:sz w:val="32"/>
          <w:szCs w:val="32"/>
          <w:lang w:val="en-US" w:eastAsia="zh-CN"/>
        </w:rPr>
        <w:t>~</w:t>
      </w:r>
      <w:r>
        <w:rPr>
          <w:rFonts w:hint="eastAsia" w:ascii="Times New Roman" w:hAnsi="Times New Roman" w:eastAsia="方正仿宋_GBK" w:cs="Times New Roman"/>
          <w:b w:val="0"/>
          <w:bCs w:val="0"/>
          <w:color w:val="auto"/>
          <w:sz w:val="32"/>
          <w:szCs w:val="32"/>
          <w:lang w:val="en-US" w:eastAsia="zh-CN"/>
        </w:rPr>
        <w:t>50%，中等肥力土壤为55%，低肥力土壤为60%；</w:t>
      </w:r>
      <w:r>
        <w:rPr>
          <w:rFonts w:hint="default" w:ascii="Times New Roman" w:hAnsi="Times New Roman" w:eastAsia="方正仿宋_GBK" w:cs="Times New Roman"/>
          <w:color w:val="auto"/>
          <w:sz w:val="32"/>
          <w:szCs w:val="32"/>
          <w:lang w:val="en-US" w:eastAsia="zh-CN"/>
        </w:rPr>
        <w:t>磷肥可做基肥一次性施用</w:t>
      </w:r>
      <w:r>
        <w:rPr>
          <w:rFonts w:hint="eastAsia" w:ascii="Times New Roman" w:hAnsi="Times New Roman" w:eastAsia="方正仿宋_GBK" w:cs="Times New Roman"/>
          <w:color w:val="auto"/>
          <w:sz w:val="32"/>
          <w:szCs w:val="32"/>
          <w:lang w:val="en-US" w:eastAsia="zh-CN"/>
        </w:rPr>
        <w:t>；</w:t>
      </w:r>
      <w:r>
        <w:rPr>
          <w:rFonts w:hint="default" w:ascii="Times New Roman" w:hAnsi="Times New Roman" w:eastAsia="方正仿宋_GBK" w:cs="Times New Roman"/>
          <w:color w:val="auto"/>
          <w:sz w:val="32"/>
          <w:szCs w:val="32"/>
          <w:lang w:val="en-US" w:eastAsia="zh-CN"/>
        </w:rPr>
        <w:t>钾肥</w:t>
      </w:r>
      <w:r>
        <w:rPr>
          <w:rFonts w:hint="eastAsia" w:ascii="Times New Roman" w:hAnsi="Times New Roman" w:eastAsia="方正仿宋_GBK" w:cs="Times New Roman"/>
          <w:color w:val="auto"/>
          <w:sz w:val="32"/>
          <w:szCs w:val="32"/>
          <w:lang w:val="en-US" w:eastAsia="zh-CN"/>
        </w:rPr>
        <w:t>根据土壤速效钾水平选择一次或</w:t>
      </w:r>
      <w:r>
        <w:rPr>
          <w:rFonts w:hint="default" w:ascii="Times New Roman" w:hAnsi="Times New Roman" w:eastAsia="方正仿宋_GBK" w:cs="Times New Roman"/>
          <w:color w:val="auto"/>
          <w:sz w:val="32"/>
          <w:szCs w:val="32"/>
          <w:lang w:val="en-US" w:eastAsia="zh-CN"/>
        </w:rPr>
        <w:t>分次施用。分蘖肥一般在水稻机插秧后7</w:t>
      </w:r>
      <w:r>
        <w:rPr>
          <w:rFonts w:hint="eastAsia" w:ascii="Times New Roman" w:hAnsi="Times New Roman" w:eastAsia="方正仿宋_GBK" w:cs="Times New Roman"/>
          <w:bCs/>
          <w:color w:val="000000"/>
          <w:sz w:val="32"/>
          <w:szCs w:val="32"/>
          <w:lang w:val="en-US" w:eastAsia="zh-CN"/>
        </w:rPr>
        <w:t>~</w:t>
      </w:r>
      <w:r>
        <w:rPr>
          <w:rFonts w:hint="default" w:ascii="Times New Roman" w:hAnsi="Times New Roman" w:eastAsia="方正仿宋_GBK" w:cs="Times New Roman"/>
          <w:color w:val="auto"/>
          <w:sz w:val="32"/>
          <w:szCs w:val="32"/>
          <w:lang w:val="en-US" w:eastAsia="zh-CN"/>
        </w:rPr>
        <w:t>10天，</w:t>
      </w:r>
      <w:r>
        <w:rPr>
          <w:rFonts w:hint="eastAsia" w:ascii="Times New Roman" w:hAnsi="Times New Roman" w:eastAsia="方正仿宋_GBK" w:cs="Times New Roman"/>
          <w:color w:val="auto"/>
          <w:sz w:val="32"/>
          <w:szCs w:val="32"/>
          <w:lang w:val="en-US" w:eastAsia="zh-CN"/>
        </w:rPr>
        <w:t>根据苗情长势，</w:t>
      </w:r>
      <w:r>
        <w:rPr>
          <w:rFonts w:hint="default" w:ascii="Times New Roman" w:hAnsi="Times New Roman" w:eastAsia="方正仿宋_GBK" w:cs="Times New Roman"/>
          <w:color w:val="auto"/>
          <w:sz w:val="32"/>
          <w:szCs w:val="32"/>
          <w:lang w:val="en-US" w:eastAsia="zh-CN"/>
        </w:rPr>
        <w:t>亩施用氮肥2</w:t>
      </w:r>
      <w:r>
        <w:rPr>
          <w:rFonts w:hint="eastAsia" w:ascii="Times New Roman" w:hAnsi="Times New Roman" w:eastAsia="方正仿宋_GBK" w:cs="Times New Roman"/>
          <w:bCs/>
          <w:color w:val="000000"/>
          <w:sz w:val="32"/>
          <w:szCs w:val="32"/>
          <w:lang w:val="en-US" w:eastAsia="zh-CN"/>
        </w:rPr>
        <w:t>~</w:t>
      </w:r>
      <w:r>
        <w:rPr>
          <w:rFonts w:hint="default" w:ascii="Times New Roman" w:hAnsi="Times New Roman" w:eastAsia="方正仿宋_GBK" w:cs="Times New Roman"/>
          <w:color w:val="auto"/>
          <w:sz w:val="32"/>
          <w:szCs w:val="32"/>
          <w:lang w:val="en-US" w:eastAsia="zh-CN"/>
        </w:rPr>
        <w:t>5公斤。对于淹水时间长、根系活力差的晚栽机插田块应适当多施肥</w:t>
      </w:r>
      <w:r>
        <w:rPr>
          <w:rFonts w:hint="eastAsia" w:ascii="Times New Roman" w:hAnsi="Times New Roman" w:eastAsia="方正仿宋_GBK" w:cs="Times New Roman"/>
          <w:color w:val="auto"/>
          <w:sz w:val="32"/>
          <w:szCs w:val="32"/>
          <w:lang w:val="en-US" w:eastAsia="zh-CN"/>
        </w:rPr>
        <w:t>；</w:t>
      </w:r>
      <w:r>
        <w:rPr>
          <w:rFonts w:hint="default" w:ascii="Times New Roman" w:hAnsi="Times New Roman" w:eastAsia="方正仿宋_GBK" w:cs="Times New Roman"/>
          <w:color w:val="auto"/>
          <w:sz w:val="32"/>
          <w:szCs w:val="32"/>
          <w:lang w:val="en-US" w:eastAsia="zh-CN"/>
        </w:rPr>
        <w:t>反之适期栽插、发苗较好的田块，应少施氮肥，避免发育过旺，造成无效分蘖。</w:t>
      </w:r>
    </w:p>
    <w:p>
      <w:pPr>
        <w:keepNext w:val="0"/>
        <w:keepLines w:val="0"/>
        <w:pageBreakBefore w:val="0"/>
        <w:widowControl w:val="0"/>
        <w:kinsoku/>
        <w:wordWrap/>
        <w:topLinePunct w:val="0"/>
        <w:autoSpaceDE/>
        <w:bidi w:val="0"/>
        <w:adjustRightInd/>
        <w:snapToGrid/>
        <w:spacing w:line="56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b/>
          <w:bCs/>
          <w:color w:val="auto"/>
          <w:sz w:val="32"/>
          <w:szCs w:val="32"/>
          <w:lang w:val="en-US" w:eastAsia="zh-CN"/>
        </w:rPr>
        <w:t>2.</w:t>
      </w:r>
      <w:r>
        <w:rPr>
          <w:rFonts w:hint="eastAsia" w:ascii="Times New Roman" w:hAnsi="Times New Roman" w:eastAsia="方正仿宋_GBK" w:cs="Times New Roman"/>
          <w:b/>
          <w:bCs/>
          <w:color w:val="auto"/>
          <w:sz w:val="32"/>
          <w:szCs w:val="32"/>
          <w:lang w:val="en-US" w:eastAsia="zh-CN"/>
        </w:rPr>
        <w:t xml:space="preserve"> </w:t>
      </w:r>
      <w:r>
        <w:rPr>
          <w:rFonts w:hint="default" w:ascii="Times New Roman" w:hAnsi="Times New Roman" w:eastAsia="方正仿宋_GBK" w:cs="Times New Roman"/>
          <w:b/>
          <w:bCs/>
          <w:color w:val="auto"/>
          <w:sz w:val="32"/>
          <w:szCs w:val="32"/>
          <w:lang w:val="en-US" w:eastAsia="zh-CN"/>
        </w:rPr>
        <w:t>水稻侧深施肥。</w:t>
      </w:r>
      <w:r>
        <w:rPr>
          <w:rFonts w:hint="default" w:ascii="Times New Roman" w:hAnsi="Times New Roman" w:eastAsia="方正仿宋_GBK" w:cs="Times New Roman"/>
          <w:b w:val="0"/>
          <w:bCs w:val="0"/>
          <w:color w:val="auto"/>
          <w:sz w:val="32"/>
          <w:szCs w:val="32"/>
          <w:lang w:val="en-US" w:eastAsia="zh-CN"/>
        </w:rPr>
        <w:t>通</w:t>
      </w:r>
      <w:r>
        <w:rPr>
          <w:rFonts w:hint="default" w:ascii="Times New Roman" w:hAnsi="Times New Roman" w:eastAsia="方正仿宋_GBK" w:cs="Times New Roman"/>
          <w:b w:val="0"/>
          <w:bCs w:val="0"/>
          <w:sz w:val="32"/>
          <w:szCs w:val="32"/>
        </w:rPr>
        <w:t>过</w:t>
      </w:r>
      <w:r>
        <w:rPr>
          <w:rFonts w:hint="default" w:ascii="Times New Roman" w:hAnsi="Times New Roman" w:eastAsia="方正仿宋_GBK" w:cs="Times New Roman"/>
          <w:sz w:val="32"/>
          <w:szCs w:val="32"/>
        </w:rPr>
        <w:t>在插秧机上配套侧深施肥装置，在机插秧的同时，把</w:t>
      </w:r>
      <w:r>
        <w:rPr>
          <w:rFonts w:hint="eastAsia" w:ascii="Times New Roman" w:hAnsi="Times New Roman" w:eastAsia="方正仿宋_GBK" w:cs="Times New Roman"/>
          <w:sz w:val="32"/>
          <w:szCs w:val="32"/>
          <w:lang w:val="en-US" w:eastAsia="zh-CN"/>
        </w:rPr>
        <w:t>肥料</w:t>
      </w:r>
      <w:r>
        <w:rPr>
          <w:rFonts w:hint="default" w:ascii="Times New Roman" w:hAnsi="Times New Roman" w:eastAsia="方正仿宋_GBK" w:cs="Times New Roman"/>
          <w:sz w:val="32"/>
          <w:szCs w:val="32"/>
        </w:rPr>
        <w:t>均匀、定量地施入秧苗根侧3</w:t>
      </w:r>
      <w:r>
        <w:rPr>
          <w:rFonts w:hint="eastAsia" w:ascii="Times New Roman" w:hAnsi="Times New Roman" w:eastAsia="方正仿宋_GBK" w:cs="Times New Roman"/>
          <w:bCs/>
          <w:color w:val="000000"/>
          <w:sz w:val="32"/>
          <w:szCs w:val="32"/>
          <w:lang w:val="en-US" w:eastAsia="zh-CN"/>
        </w:rPr>
        <w:t>~</w:t>
      </w:r>
      <w:r>
        <w:rPr>
          <w:rFonts w:hint="default" w:ascii="Times New Roman" w:hAnsi="Times New Roman" w:eastAsia="方正仿宋_GBK" w:cs="Times New Roman"/>
          <w:sz w:val="32"/>
          <w:szCs w:val="32"/>
        </w:rPr>
        <w:t>5cm、深度4</w:t>
      </w:r>
      <w:r>
        <w:rPr>
          <w:rFonts w:hint="eastAsia" w:ascii="Times New Roman" w:hAnsi="Times New Roman" w:eastAsia="方正仿宋_GBK" w:cs="Times New Roman"/>
          <w:bCs/>
          <w:color w:val="000000"/>
          <w:sz w:val="32"/>
          <w:szCs w:val="32"/>
          <w:lang w:val="en-US" w:eastAsia="zh-CN"/>
        </w:rPr>
        <w:t>~</w:t>
      </w:r>
      <w:r>
        <w:rPr>
          <w:rFonts w:hint="default" w:ascii="Times New Roman" w:hAnsi="Times New Roman" w:eastAsia="方正仿宋_GBK" w:cs="Times New Roman"/>
          <w:sz w:val="32"/>
          <w:szCs w:val="32"/>
        </w:rPr>
        <w:t>6cm处，促进秧苗根系对养分的吸收</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val="en-US" w:eastAsia="zh-CN"/>
        </w:rPr>
        <w:t>肥料应选用</w:t>
      </w:r>
      <w:r>
        <w:rPr>
          <w:rFonts w:hint="default" w:ascii="Times New Roman" w:hAnsi="Times New Roman" w:eastAsia="方正仿宋_GBK" w:cs="Times New Roman"/>
          <w:color w:val="auto"/>
          <w:sz w:val="32"/>
          <w:szCs w:val="32"/>
        </w:rPr>
        <w:t>氮磷钾配比合理、粒型整齐</w:t>
      </w:r>
      <w:r>
        <w:rPr>
          <w:rFonts w:hint="eastAsia" w:ascii="Times New Roman" w:hAnsi="Times New Roman" w:eastAsia="方正仿宋_GBK" w:cs="Times New Roman"/>
          <w:color w:val="auto"/>
          <w:sz w:val="32"/>
          <w:szCs w:val="32"/>
          <w:lang w:eastAsia="zh-CN"/>
        </w:rPr>
        <w:t>、</w:t>
      </w:r>
      <w:r>
        <w:rPr>
          <w:rFonts w:hint="default" w:ascii="Times New Roman" w:hAnsi="Times New Roman" w:eastAsia="方正仿宋_GBK" w:cs="Times New Roman"/>
          <w:color w:val="auto"/>
          <w:sz w:val="32"/>
          <w:szCs w:val="32"/>
        </w:rPr>
        <w:t>硬度适宜</w:t>
      </w:r>
      <w:r>
        <w:rPr>
          <w:rFonts w:hint="eastAsia" w:ascii="Times New Roman" w:hAnsi="Times New Roman" w:eastAsia="方正仿宋_GBK" w:cs="Times New Roman"/>
          <w:color w:val="auto"/>
          <w:sz w:val="32"/>
          <w:szCs w:val="32"/>
          <w:lang w:eastAsia="zh-CN"/>
        </w:rPr>
        <w:t>、</w:t>
      </w:r>
      <w:r>
        <w:rPr>
          <w:rFonts w:hint="default" w:ascii="Times New Roman" w:hAnsi="Times New Roman" w:eastAsia="方正仿宋_GBK" w:cs="Times New Roman"/>
          <w:color w:val="auto"/>
          <w:sz w:val="32"/>
          <w:szCs w:val="32"/>
        </w:rPr>
        <w:t>手捏不碎、吸湿少、不粘、不结块的圆粒型配方肥（复合肥）或缓控释肥料，粒径以2</w:t>
      </w:r>
      <w:r>
        <w:rPr>
          <w:rFonts w:hint="eastAsia" w:ascii="Times New Roman" w:hAnsi="Times New Roman" w:eastAsia="方正仿宋_GBK" w:cs="Times New Roman"/>
          <w:bCs/>
          <w:color w:val="000000"/>
          <w:sz w:val="32"/>
          <w:szCs w:val="32"/>
          <w:lang w:val="en-US" w:eastAsia="zh-CN"/>
        </w:rPr>
        <w:t>~</w:t>
      </w:r>
      <w:r>
        <w:rPr>
          <w:rFonts w:hint="default" w:ascii="Times New Roman" w:hAnsi="Times New Roman" w:eastAsia="方正仿宋_GBK" w:cs="Times New Roman"/>
          <w:color w:val="auto"/>
          <w:sz w:val="32"/>
          <w:szCs w:val="32"/>
        </w:rPr>
        <w:t>5mm为宜，以防肥料通道堵塞。根据土壤供肥能力、肥料特性、作物需肥规律等，科学确定技术模式，原则上，在高肥力地区，推行缓控释肥“一次性施用”模式</w:t>
      </w:r>
      <w:r>
        <w:rPr>
          <w:rFonts w:hint="default" w:ascii="Times New Roman" w:hAnsi="Times New Roman" w:eastAsia="方正仿宋_GBK" w:cs="Times New Roman"/>
          <w:color w:val="auto"/>
          <w:sz w:val="32"/>
          <w:szCs w:val="32"/>
          <w:lang w:eastAsia="zh-CN"/>
        </w:rPr>
        <w:t>，</w:t>
      </w:r>
      <w:r>
        <w:rPr>
          <w:rFonts w:hint="default" w:ascii="Times New Roman" w:hAnsi="Times New Roman" w:eastAsia="方正仿宋_GBK" w:cs="Times New Roman"/>
          <w:color w:val="auto"/>
          <w:sz w:val="32"/>
          <w:szCs w:val="32"/>
        </w:rPr>
        <w:t>缓控释肥中的缓释氮应能满足</w:t>
      </w:r>
      <w:r>
        <w:rPr>
          <w:rFonts w:hint="default" w:ascii="Times New Roman" w:hAnsi="Times New Roman" w:eastAsia="方正仿宋_GBK" w:cs="Times New Roman"/>
          <w:color w:val="auto"/>
          <w:sz w:val="32"/>
          <w:szCs w:val="32"/>
          <w:lang w:val="en-US" w:eastAsia="zh-CN"/>
        </w:rPr>
        <w:t>作物</w:t>
      </w:r>
      <w:r>
        <w:rPr>
          <w:rFonts w:hint="default" w:ascii="Times New Roman" w:hAnsi="Times New Roman" w:eastAsia="方正仿宋_GBK" w:cs="Times New Roman"/>
          <w:color w:val="auto"/>
          <w:sz w:val="32"/>
          <w:szCs w:val="32"/>
        </w:rPr>
        <w:t>营养临界期和养分最大效率期的</w:t>
      </w:r>
      <w:r>
        <w:rPr>
          <w:rFonts w:hint="default" w:ascii="Times New Roman" w:hAnsi="Times New Roman" w:eastAsia="方正仿宋_GBK" w:cs="Times New Roman"/>
          <w:color w:val="auto"/>
          <w:sz w:val="32"/>
          <w:szCs w:val="32"/>
          <w:lang w:val="en-US" w:eastAsia="zh-CN"/>
        </w:rPr>
        <w:t>养分</w:t>
      </w:r>
      <w:r>
        <w:rPr>
          <w:rFonts w:hint="default" w:ascii="Times New Roman" w:hAnsi="Times New Roman" w:eastAsia="方正仿宋_GBK" w:cs="Times New Roman"/>
          <w:color w:val="auto"/>
          <w:sz w:val="32"/>
          <w:szCs w:val="32"/>
        </w:rPr>
        <w:t>需求；在中肥力、低肥力的地区，分别推行“一基一追”“一基两追”模式，其中氮肥基</w:t>
      </w:r>
      <w:r>
        <w:rPr>
          <w:rFonts w:hint="eastAsia" w:ascii="Times New Roman" w:hAnsi="Times New Roman" w:eastAsia="方正仿宋_GBK" w:cs="Times New Roman"/>
          <w:color w:val="auto"/>
          <w:sz w:val="32"/>
          <w:szCs w:val="32"/>
          <w:lang w:val="en-US" w:eastAsia="zh-CN"/>
        </w:rPr>
        <w:t>蘖</w:t>
      </w:r>
      <w:r>
        <w:rPr>
          <w:rFonts w:hint="default" w:ascii="Times New Roman" w:hAnsi="Times New Roman" w:eastAsia="方正仿宋_GBK" w:cs="Times New Roman"/>
          <w:color w:val="auto"/>
          <w:sz w:val="32"/>
          <w:szCs w:val="32"/>
        </w:rPr>
        <w:t>肥</w:t>
      </w:r>
      <w:r>
        <w:rPr>
          <w:rFonts w:hint="default" w:ascii="Times New Roman" w:hAnsi="Times New Roman" w:eastAsia="方正仿宋_GBK" w:cs="Times New Roman"/>
          <w:color w:val="auto"/>
          <w:sz w:val="32"/>
          <w:szCs w:val="32"/>
          <w:lang w:val="en-US" w:eastAsia="zh-CN"/>
        </w:rPr>
        <w:t>一般</w:t>
      </w:r>
      <w:r>
        <w:rPr>
          <w:rFonts w:hint="default" w:ascii="Times New Roman" w:hAnsi="Times New Roman" w:eastAsia="方正仿宋_GBK" w:cs="Times New Roman"/>
          <w:color w:val="auto"/>
          <w:sz w:val="32"/>
          <w:szCs w:val="32"/>
        </w:rPr>
        <w:t>占50%</w:t>
      </w:r>
      <w:r>
        <w:rPr>
          <w:rFonts w:hint="eastAsia" w:ascii="Times New Roman" w:hAnsi="Times New Roman" w:eastAsia="方正仿宋_GBK" w:cs="Times New Roman"/>
          <w:bCs/>
          <w:color w:val="000000"/>
          <w:sz w:val="32"/>
          <w:szCs w:val="32"/>
          <w:lang w:val="en-US" w:eastAsia="zh-CN"/>
        </w:rPr>
        <w:t>~</w:t>
      </w:r>
      <w:r>
        <w:rPr>
          <w:rFonts w:hint="default" w:ascii="Times New Roman" w:hAnsi="Times New Roman" w:eastAsia="方正仿宋_GBK" w:cs="Times New Roman"/>
          <w:color w:val="auto"/>
          <w:sz w:val="32"/>
          <w:szCs w:val="32"/>
        </w:rPr>
        <w:t>70%，追肥占30%</w:t>
      </w:r>
      <w:r>
        <w:rPr>
          <w:rFonts w:hint="eastAsia" w:ascii="Times New Roman" w:hAnsi="Times New Roman" w:eastAsia="方正仿宋_GBK" w:cs="Times New Roman"/>
          <w:bCs/>
          <w:color w:val="000000"/>
          <w:sz w:val="32"/>
          <w:szCs w:val="32"/>
          <w:lang w:val="en-US" w:eastAsia="zh-CN"/>
        </w:rPr>
        <w:t>~</w:t>
      </w:r>
      <w:r>
        <w:rPr>
          <w:rFonts w:hint="default" w:ascii="Times New Roman" w:hAnsi="Times New Roman" w:eastAsia="方正仿宋_GBK" w:cs="Times New Roman"/>
          <w:color w:val="auto"/>
          <w:sz w:val="32"/>
          <w:szCs w:val="32"/>
        </w:rPr>
        <w:t>50%</w:t>
      </w:r>
      <w:r>
        <w:rPr>
          <w:rFonts w:hint="eastAsia" w:ascii="Times New Roman" w:hAnsi="Times New Roman" w:eastAsia="方正仿宋_GBK" w:cs="Times New Roman"/>
          <w:color w:val="auto"/>
          <w:sz w:val="32"/>
          <w:szCs w:val="32"/>
          <w:lang w:eastAsia="zh-CN"/>
        </w:rPr>
        <w:t>。</w:t>
      </w:r>
      <w:r>
        <w:rPr>
          <w:rFonts w:hint="default" w:ascii="Times New Roman" w:hAnsi="Times New Roman" w:eastAsia="方正仿宋_GBK" w:cs="Times New Roman"/>
          <w:color w:val="auto"/>
          <w:sz w:val="32"/>
          <w:szCs w:val="32"/>
        </w:rPr>
        <w:t>同时注意秸秆还田、田块平整、机械操作等事宜</w:t>
      </w:r>
      <w:r>
        <w:rPr>
          <w:rFonts w:hint="eastAsia" w:ascii="Times New Roman" w:hAnsi="Times New Roman" w:eastAsia="方正仿宋_GBK" w:cs="方正仿宋_GBK"/>
          <w:sz w:val="32"/>
          <w:szCs w:val="32"/>
          <w:lang w:eastAsia="zh-CN"/>
        </w:rPr>
        <w:t>（技术方案见</w:t>
      </w:r>
      <w:r>
        <w:rPr>
          <w:rFonts w:hint="default" w:ascii="Times New Roman" w:hAnsi="Times New Roman" w:eastAsia="方正仿宋_GBK" w:cs="Times New Roman"/>
          <w:sz w:val="32"/>
          <w:szCs w:val="32"/>
        </w:rPr>
        <w:t>苏耕环〔202</w:t>
      </w:r>
      <w:r>
        <w:rPr>
          <w:rFonts w:hint="default" w:ascii="Times New Roman" w:hAnsi="Times New Roman" w:eastAsia="方正仿宋_GBK" w:cs="Times New Roman"/>
          <w:sz w:val="32"/>
          <w:szCs w:val="32"/>
          <w:lang w:val="en-US" w:eastAsia="zh-CN"/>
        </w:rPr>
        <w:t>4</w:t>
      </w:r>
      <w:r>
        <w:rPr>
          <w:rFonts w:hint="default" w:ascii="Times New Roman" w:hAnsi="Times New Roman" w:eastAsia="方正仿宋_GBK" w:cs="Times New Roman"/>
          <w:sz w:val="32"/>
          <w:szCs w:val="32"/>
        </w:rPr>
        <w:t>〕</w:t>
      </w:r>
      <w:r>
        <w:rPr>
          <w:rFonts w:hint="default" w:ascii="Times New Roman" w:hAnsi="Times New Roman" w:eastAsia="方正仿宋_GBK" w:cs="Times New Roman"/>
          <w:sz w:val="32"/>
          <w:szCs w:val="32"/>
          <w:lang w:val="en-US" w:eastAsia="zh-CN"/>
        </w:rPr>
        <w:t>14</w:t>
      </w:r>
      <w:r>
        <w:rPr>
          <w:rFonts w:hint="default" w:ascii="Times New Roman" w:hAnsi="Times New Roman" w:eastAsia="方正仿宋_GBK" w:cs="Times New Roman"/>
          <w:sz w:val="32"/>
          <w:szCs w:val="32"/>
        </w:rPr>
        <w:t>号</w:t>
      </w:r>
      <w:r>
        <w:rPr>
          <w:rFonts w:hint="eastAsia" w:ascii="Times New Roman" w:hAnsi="Times New Roman" w:eastAsia="方正仿宋_GBK" w:cs="Times New Roman"/>
          <w:sz w:val="32"/>
          <w:szCs w:val="32"/>
          <w:lang w:eastAsia="zh-CN"/>
        </w:rPr>
        <w:t>文件</w:t>
      </w:r>
      <w:r>
        <w:rPr>
          <w:rFonts w:hint="eastAsia" w:ascii="Times New Roman" w:hAnsi="Times New Roman" w:eastAsia="方正仿宋_GBK" w:cs="方正仿宋_GBK"/>
          <w:sz w:val="32"/>
          <w:szCs w:val="32"/>
          <w:lang w:eastAsia="zh-CN"/>
        </w:rPr>
        <w:t>）</w:t>
      </w:r>
      <w:r>
        <w:rPr>
          <w:rFonts w:hint="default" w:ascii="Times New Roman" w:hAnsi="Times New Roman" w:eastAsia="方正仿宋_GBK" w:cs="Times New Roman"/>
          <w:color w:val="auto"/>
          <w:sz w:val="32"/>
          <w:szCs w:val="32"/>
        </w:rPr>
        <w:t>。</w:t>
      </w:r>
    </w:p>
    <w:p>
      <w:pPr>
        <w:keepNext w:val="0"/>
        <w:keepLines w:val="0"/>
        <w:pageBreakBefore w:val="0"/>
        <w:widowControl w:val="0"/>
        <w:kinsoku/>
        <w:wordWrap/>
        <w:topLinePunct w:val="0"/>
        <w:autoSpaceDE/>
        <w:bidi w:val="0"/>
        <w:adjustRightInd/>
        <w:snapToGrid/>
        <w:spacing w:line="560" w:lineRule="exact"/>
        <w:ind w:firstLine="640" w:firstLineChars="200"/>
        <w:textAlignment w:val="auto"/>
        <w:rPr>
          <w:rFonts w:hint="default" w:ascii="Times New Roman" w:hAnsi="Times New Roman" w:eastAsia="方正楷体_GBK" w:cs="Times New Roman"/>
          <w:color w:val="auto"/>
          <w:sz w:val="32"/>
          <w:szCs w:val="32"/>
          <w:lang w:val="en-US" w:eastAsia="zh-CN"/>
        </w:rPr>
      </w:pPr>
      <w:r>
        <w:rPr>
          <w:rFonts w:hint="default" w:ascii="Times New Roman" w:hAnsi="Times New Roman" w:eastAsia="方正楷体_GBK" w:cs="Times New Roman"/>
          <w:color w:val="auto"/>
          <w:sz w:val="32"/>
          <w:szCs w:val="32"/>
          <w:lang w:val="en-US" w:eastAsia="zh-CN"/>
        </w:rPr>
        <w:t>（二）</w:t>
      </w:r>
      <w:r>
        <w:rPr>
          <w:rFonts w:hint="eastAsia" w:ascii="Times New Roman" w:hAnsi="Times New Roman" w:eastAsia="方正楷体_GBK" w:cs="Times New Roman"/>
          <w:color w:val="auto"/>
          <w:sz w:val="32"/>
          <w:szCs w:val="32"/>
          <w:lang w:val="en-US" w:eastAsia="zh-CN"/>
        </w:rPr>
        <w:t>穗肥</w:t>
      </w:r>
    </w:p>
    <w:p>
      <w:pPr>
        <w:keepNext w:val="0"/>
        <w:keepLines w:val="0"/>
        <w:pageBreakBefore w:val="0"/>
        <w:widowControl w:val="0"/>
        <w:kinsoku/>
        <w:wordWrap/>
        <w:topLinePunct w:val="0"/>
        <w:autoSpaceDE/>
        <w:bidi w:val="0"/>
        <w:adjustRightInd/>
        <w:snapToGrid/>
        <w:spacing w:line="560" w:lineRule="exact"/>
        <w:ind w:firstLine="640" w:firstLineChars="200"/>
        <w:textAlignment w:val="auto"/>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仿宋_GBK" w:cs="Times New Roman"/>
          <w:color w:val="auto"/>
          <w:sz w:val="32"/>
          <w:szCs w:val="32"/>
          <w:lang w:val="en-US" w:eastAsia="zh-CN"/>
        </w:rPr>
        <w:t>因土壤基础地力、基肥施用、苗情长势因地制宜优化田间肥料运筹策略。</w:t>
      </w:r>
      <w:r>
        <w:rPr>
          <w:rFonts w:hint="eastAsia" w:ascii="Times New Roman" w:hAnsi="Times New Roman" w:eastAsia="方正仿宋_GBK" w:cs="Times New Roman"/>
          <w:color w:val="auto"/>
          <w:sz w:val="32"/>
          <w:szCs w:val="32"/>
          <w:lang w:val="en-US" w:eastAsia="zh-CN"/>
        </w:rPr>
        <w:t>在水稻第1节间定长，第2节间开始伸长，群体叶色正常褪淡时追施穗肥，亩施氮肥5</w:t>
      </w:r>
      <w:r>
        <w:rPr>
          <w:rFonts w:hint="eastAsia" w:ascii="Times New Roman" w:hAnsi="Times New Roman" w:eastAsia="方正仿宋_GBK" w:cs="Times New Roman"/>
          <w:bCs/>
          <w:color w:val="000000"/>
          <w:sz w:val="32"/>
          <w:szCs w:val="32"/>
          <w:lang w:val="en-US" w:eastAsia="zh-CN"/>
        </w:rPr>
        <w:t>~</w:t>
      </w:r>
      <w:r>
        <w:rPr>
          <w:rFonts w:hint="eastAsia" w:ascii="Times New Roman" w:hAnsi="Times New Roman" w:eastAsia="方正仿宋_GBK" w:cs="Times New Roman"/>
          <w:color w:val="auto"/>
          <w:sz w:val="32"/>
          <w:szCs w:val="32"/>
          <w:lang w:val="en-US" w:eastAsia="zh-CN"/>
        </w:rPr>
        <w:t>8公斤、钾肥1</w:t>
      </w:r>
      <w:r>
        <w:rPr>
          <w:rFonts w:hint="eastAsia" w:ascii="Times New Roman" w:hAnsi="Times New Roman" w:eastAsia="方正仿宋_GBK" w:cs="Times New Roman"/>
          <w:bCs/>
          <w:color w:val="000000"/>
          <w:sz w:val="32"/>
          <w:szCs w:val="32"/>
          <w:lang w:val="en-US" w:eastAsia="zh-CN"/>
        </w:rPr>
        <w:t>~</w:t>
      </w:r>
      <w:r>
        <w:rPr>
          <w:rFonts w:hint="eastAsia" w:ascii="Times New Roman" w:hAnsi="Times New Roman" w:eastAsia="方正仿宋_GBK" w:cs="Times New Roman"/>
          <w:color w:val="auto"/>
          <w:sz w:val="32"/>
          <w:szCs w:val="32"/>
          <w:lang w:val="en-US" w:eastAsia="zh-CN"/>
        </w:rPr>
        <w:t>2公斤，推荐选用33%（28-0-5）、35%（30-0-5）、38%（30-0-8）、40%（28-0-12）等配方的氮钾肥，在高钾肥力的土壤上则无须施用钾肥。如果不褪淡，则不施用或少施穗肥；群体不足、明显脱力落黄的长势较差田块，穗肥适当提前施用，用肥量根据苗情酌情增加，可分两次施用。</w:t>
      </w:r>
      <w:r>
        <w:rPr>
          <w:rFonts w:hint="default" w:ascii="Times New Roman" w:hAnsi="Times New Roman" w:eastAsia="方正仿宋_GBK" w:cs="Times New Roman"/>
          <w:color w:val="auto"/>
          <w:sz w:val="32"/>
          <w:szCs w:val="32"/>
        </w:rPr>
        <w:t>采用水稻机插秧侧深施</w:t>
      </w:r>
      <w:r>
        <w:rPr>
          <w:rFonts w:hint="eastAsia" w:ascii="Times New Roman" w:hAnsi="Times New Roman" w:eastAsia="方正仿宋_GBK" w:cs="Times New Roman"/>
          <w:color w:val="auto"/>
          <w:sz w:val="32"/>
          <w:szCs w:val="32"/>
          <w:lang w:val="en-US" w:eastAsia="zh-CN"/>
        </w:rPr>
        <w:t>缓控释肥料</w:t>
      </w:r>
      <w:r>
        <w:rPr>
          <w:rFonts w:hint="default" w:ascii="Times New Roman" w:hAnsi="Times New Roman" w:eastAsia="方正仿宋_GBK" w:cs="Times New Roman"/>
          <w:color w:val="auto"/>
          <w:sz w:val="32"/>
          <w:szCs w:val="32"/>
        </w:rPr>
        <w:t>的根据苗情长势不施用穗肥或少施穗肥。</w:t>
      </w:r>
      <w:r>
        <w:rPr>
          <w:rFonts w:hint="eastAsia" w:ascii="Times New Roman" w:hAnsi="Times New Roman" w:eastAsia="方正仿宋_GBK" w:cs="Times New Roman"/>
          <w:color w:val="auto"/>
          <w:sz w:val="32"/>
          <w:szCs w:val="32"/>
          <w:lang w:val="en-US" w:eastAsia="zh-CN"/>
        </w:rPr>
        <w:t>有条件的地方，推荐使用营养诊断精准变量施肥技术，利用无人机遥感影像光谱技术，生成作物追肥作业处方决策图，实现适时、按需、变量追肥。</w:t>
      </w:r>
    </w:p>
    <w:p>
      <w:pPr>
        <w:keepNext w:val="0"/>
        <w:keepLines w:val="0"/>
        <w:pageBreakBefore w:val="0"/>
        <w:widowControl w:val="0"/>
        <w:kinsoku/>
        <w:wordWrap/>
        <w:topLinePunct w:val="0"/>
        <w:autoSpaceDE/>
        <w:bidi w:val="0"/>
        <w:adjustRightInd/>
        <w:snapToGrid/>
        <w:spacing w:line="560" w:lineRule="exact"/>
        <w:ind w:firstLine="640" w:firstLineChars="200"/>
        <w:textAlignment w:val="auto"/>
        <w:rPr>
          <w:rFonts w:hint="default" w:ascii="Times New Roman" w:hAnsi="Times New Roman" w:eastAsia="方正黑体_GBK" w:cs="Times New Roman"/>
          <w:color w:val="auto"/>
          <w:sz w:val="32"/>
          <w:szCs w:val="32"/>
          <w:lang w:val="en-US" w:eastAsia="zh-CN"/>
        </w:rPr>
      </w:pPr>
      <w:r>
        <w:rPr>
          <w:rFonts w:hint="default" w:ascii="Times New Roman" w:hAnsi="Times New Roman" w:eastAsia="方正黑体_GBK" w:cs="Times New Roman"/>
          <w:color w:val="auto"/>
          <w:sz w:val="32"/>
          <w:szCs w:val="32"/>
          <w:lang w:val="en-US" w:eastAsia="zh-CN"/>
        </w:rPr>
        <w:t>三、其他</w:t>
      </w:r>
    </w:p>
    <w:p>
      <w:pPr>
        <w:keepNext w:val="0"/>
        <w:keepLines w:val="0"/>
        <w:pageBreakBefore w:val="0"/>
        <w:widowControl w:val="0"/>
        <w:numPr>
          <w:ilvl w:val="0"/>
          <w:numId w:val="0"/>
        </w:numPr>
        <w:kinsoku/>
        <w:wordWrap/>
        <w:topLinePunct w:val="0"/>
        <w:autoSpaceDE/>
        <w:bidi w:val="0"/>
        <w:adjustRightInd/>
        <w:snapToGrid/>
        <w:spacing w:line="560" w:lineRule="exact"/>
        <w:ind w:firstLine="640" w:firstLineChars="200"/>
        <w:textAlignment w:val="auto"/>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仿宋_GBK" w:cs="Times New Roman"/>
          <w:color w:val="auto"/>
          <w:sz w:val="32"/>
          <w:szCs w:val="32"/>
          <w:lang w:val="en-US" w:eastAsia="zh-CN"/>
        </w:rPr>
        <w:t xml:space="preserve">1. </w:t>
      </w:r>
      <w:r>
        <w:rPr>
          <w:rFonts w:hint="default" w:ascii="Times New Roman" w:hAnsi="Times New Roman" w:eastAsia="方正仿宋_GBK" w:cs="Times New Roman"/>
          <w:color w:val="auto"/>
          <w:sz w:val="32"/>
          <w:szCs w:val="32"/>
        </w:rPr>
        <w:t>孕穗至灌浆期，结合</w:t>
      </w:r>
      <w:r>
        <w:rPr>
          <w:rFonts w:hint="default" w:ascii="Times New Roman" w:hAnsi="Times New Roman" w:eastAsia="方正仿宋_GBK" w:cs="Times New Roman"/>
          <w:color w:val="auto"/>
          <w:sz w:val="32"/>
          <w:szCs w:val="32"/>
          <w:lang w:eastAsia="zh-CN"/>
        </w:rPr>
        <w:t>“</w:t>
      </w:r>
      <w:r>
        <w:rPr>
          <w:rFonts w:hint="default" w:ascii="Times New Roman" w:hAnsi="Times New Roman" w:eastAsia="方正仿宋_GBK" w:cs="Times New Roman"/>
          <w:color w:val="auto"/>
          <w:sz w:val="32"/>
          <w:szCs w:val="32"/>
          <w:lang w:val="en-US" w:eastAsia="zh-CN"/>
        </w:rPr>
        <w:t>一喷多促</w:t>
      </w:r>
      <w:r>
        <w:rPr>
          <w:rFonts w:hint="default" w:ascii="Times New Roman" w:hAnsi="Times New Roman" w:eastAsia="方正仿宋_GBK" w:cs="Times New Roman"/>
          <w:color w:val="auto"/>
          <w:sz w:val="32"/>
          <w:szCs w:val="32"/>
          <w:lang w:eastAsia="zh-CN"/>
        </w:rPr>
        <w:t>”</w:t>
      </w:r>
      <w:r>
        <w:rPr>
          <w:rFonts w:hint="default" w:ascii="Times New Roman" w:hAnsi="Times New Roman" w:eastAsia="方正仿宋_GBK" w:cs="Times New Roman"/>
          <w:color w:val="auto"/>
          <w:sz w:val="32"/>
          <w:szCs w:val="32"/>
        </w:rPr>
        <w:t>，</w:t>
      </w:r>
      <w:r>
        <w:rPr>
          <w:rFonts w:hint="default" w:ascii="Times New Roman" w:hAnsi="Times New Roman" w:eastAsia="方正仿宋_GBK" w:cs="Times New Roman"/>
          <w:color w:val="auto"/>
          <w:sz w:val="32"/>
          <w:szCs w:val="32"/>
          <w:lang w:val="en-US" w:eastAsia="zh-CN"/>
        </w:rPr>
        <w:t>应用农用无人机</w:t>
      </w:r>
      <w:r>
        <w:rPr>
          <w:rFonts w:hint="default" w:ascii="Times New Roman" w:hAnsi="Times New Roman" w:eastAsia="方正仿宋_GBK" w:cs="Times New Roman"/>
          <w:color w:val="auto"/>
          <w:sz w:val="32"/>
          <w:szCs w:val="32"/>
        </w:rPr>
        <w:t>喷施</w:t>
      </w:r>
      <w:r>
        <w:rPr>
          <w:rFonts w:hint="default" w:ascii="Times New Roman" w:hAnsi="Times New Roman" w:eastAsia="方正仿宋_GBK" w:cs="Times New Roman"/>
          <w:color w:val="auto"/>
          <w:sz w:val="32"/>
          <w:szCs w:val="32"/>
          <w:lang w:val="en-US" w:eastAsia="zh-CN"/>
        </w:rPr>
        <w:t>磷酸二氢钾、含氨基酸（腐</w:t>
      </w:r>
      <w:r>
        <w:rPr>
          <w:rFonts w:hint="eastAsia" w:ascii="Times New Roman" w:hAnsi="Times New Roman" w:eastAsia="方正仿宋_GBK" w:cs="Times New Roman"/>
          <w:color w:val="auto"/>
          <w:sz w:val="32"/>
          <w:szCs w:val="32"/>
          <w:lang w:val="en-US" w:eastAsia="zh-CN"/>
        </w:rPr>
        <w:t>植</w:t>
      </w:r>
      <w:r>
        <w:rPr>
          <w:rFonts w:hint="default" w:ascii="Times New Roman" w:hAnsi="Times New Roman" w:eastAsia="方正仿宋_GBK" w:cs="Times New Roman"/>
          <w:color w:val="auto"/>
          <w:sz w:val="32"/>
          <w:szCs w:val="32"/>
          <w:lang w:val="en-US" w:eastAsia="zh-CN"/>
        </w:rPr>
        <w:t>酸）</w:t>
      </w:r>
      <w:r>
        <w:rPr>
          <w:rFonts w:hint="eastAsia" w:ascii="Times New Roman" w:hAnsi="Times New Roman" w:eastAsia="方正仿宋_GBK" w:cs="Times New Roman"/>
          <w:color w:val="auto"/>
          <w:sz w:val="32"/>
          <w:szCs w:val="32"/>
          <w:lang w:val="en-US" w:eastAsia="zh-CN"/>
        </w:rPr>
        <w:t>等</w:t>
      </w:r>
      <w:r>
        <w:rPr>
          <w:rFonts w:hint="default" w:ascii="Times New Roman" w:hAnsi="Times New Roman" w:eastAsia="方正仿宋_GBK" w:cs="Times New Roman"/>
          <w:color w:val="auto"/>
          <w:sz w:val="32"/>
          <w:szCs w:val="32"/>
          <w:lang w:val="en-US" w:eastAsia="zh-CN"/>
        </w:rPr>
        <w:t>水溶性</w:t>
      </w:r>
      <w:r>
        <w:rPr>
          <w:rFonts w:hint="default" w:ascii="Times New Roman" w:hAnsi="Times New Roman" w:eastAsia="方正仿宋_GBK" w:cs="Times New Roman"/>
          <w:color w:val="auto"/>
          <w:sz w:val="32"/>
          <w:szCs w:val="32"/>
        </w:rPr>
        <w:t>叶面肥</w:t>
      </w:r>
      <w:r>
        <w:rPr>
          <w:rFonts w:hint="default" w:ascii="Times New Roman" w:hAnsi="Times New Roman" w:eastAsia="方正仿宋_GBK" w:cs="Times New Roman"/>
          <w:color w:val="auto"/>
          <w:sz w:val="32"/>
          <w:szCs w:val="32"/>
          <w:lang w:eastAsia="zh-CN"/>
        </w:rPr>
        <w:t>，</w:t>
      </w:r>
      <w:r>
        <w:rPr>
          <w:rFonts w:hint="default" w:ascii="Times New Roman" w:hAnsi="Times New Roman" w:eastAsia="方正仿宋_GBK" w:cs="Times New Roman"/>
          <w:color w:val="auto"/>
          <w:sz w:val="32"/>
          <w:szCs w:val="32"/>
        </w:rPr>
        <w:t>生长调节剂，提高水稻抗逆性、抗倒伏能力，促进籽粒灌浆发育，提高结实率和千粒重。</w:t>
      </w:r>
      <w:r>
        <w:rPr>
          <w:rFonts w:hint="default" w:ascii="Times New Roman" w:hAnsi="Times New Roman" w:eastAsia="方正仿宋_GBK" w:cs="Times New Roman"/>
          <w:color w:val="auto"/>
          <w:sz w:val="32"/>
          <w:szCs w:val="32"/>
          <w:lang w:val="en-US" w:eastAsia="zh-CN"/>
        </w:rPr>
        <w:t>叶面喷施以晴天的早上或傍晚为宜。</w:t>
      </w:r>
    </w:p>
    <w:p>
      <w:pPr>
        <w:keepNext w:val="0"/>
        <w:keepLines w:val="0"/>
        <w:pageBreakBefore w:val="0"/>
        <w:widowControl w:val="0"/>
        <w:kinsoku/>
        <w:wordWrap/>
        <w:topLinePunct w:val="0"/>
        <w:autoSpaceDE/>
        <w:autoSpaceDN w:val="0"/>
        <w:bidi w:val="0"/>
        <w:adjustRightInd/>
        <w:snapToGrid/>
        <w:spacing w:line="560" w:lineRule="exact"/>
        <w:ind w:firstLine="640" w:firstLineChars="200"/>
        <w:textAlignment w:val="auto"/>
        <w:rPr>
          <w:rFonts w:hint="default" w:ascii="Times New Roman" w:hAnsi="Times New Roman" w:eastAsia="方正黑体_GBK" w:cs="Times New Roman"/>
          <w:bCs/>
          <w:color w:val="000000"/>
          <w:sz w:val="32"/>
          <w:szCs w:val="32"/>
          <w:lang w:val="en-US" w:eastAsia="zh-CN"/>
        </w:rPr>
      </w:pPr>
      <w:r>
        <w:rPr>
          <w:rFonts w:hint="default" w:ascii="Times New Roman" w:hAnsi="Times New Roman" w:eastAsia="方正仿宋_GBK" w:cs="Times New Roman"/>
          <w:color w:val="auto"/>
          <w:sz w:val="32"/>
          <w:szCs w:val="32"/>
          <w:lang w:val="en-US" w:eastAsia="zh-CN"/>
        </w:rPr>
        <w:t>2. 水稻是喜硅作物，施用硅肥可以增加水稻抗逆性，提高产量和品质，可在秧苗移栽期结合配方肥施用硅肥或选用</w:t>
      </w:r>
      <w:r>
        <w:rPr>
          <w:rFonts w:hint="eastAsia" w:ascii="Times New Roman" w:hAnsi="Times New Roman" w:eastAsia="方正仿宋_GBK" w:cs="Times New Roman"/>
          <w:color w:val="auto"/>
          <w:sz w:val="32"/>
          <w:szCs w:val="32"/>
          <w:lang w:val="en-US" w:eastAsia="zh-CN"/>
        </w:rPr>
        <w:t>含</w:t>
      </w:r>
      <w:r>
        <w:rPr>
          <w:rFonts w:hint="default" w:ascii="Times New Roman" w:hAnsi="Times New Roman" w:eastAsia="方正仿宋_GBK" w:cs="Times New Roman"/>
          <w:color w:val="auto"/>
          <w:sz w:val="32"/>
          <w:szCs w:val="32"/>
          <w:lang w:val="en-US" w:eastAsia="zh-CN"/>
        </w:rPr>
        <w:t>硅复合肥，也可在水稻分蘖期和孕穗期喷施液体硅肥。</w:t>
      </w:r>
      <w:r>
        <w:rPr>
          <w:rFonts w:hint="default" w:ascii="Times New Roman" w:hAnsi="Times New Roman" w:eastAsia="方正仿宋_GBK" w:cs="Times New Roman"/>
          <w:bCs/>
          <w:color w:val="000000"/>
          <w:sz w:val="32"/>
          <w:szCs w:val="32"/>
          <w:lang w:val="en-US" w:eastAsia="zh-CN"/>
        </w:rPr>
        <w:t>在</w:t>
      </w:r>
      <w:r>
        <w:rPr>
          <w:rFonts w:hint="default" w:ascii="Times New Roman" w:hAnsi="Times New Roman" w:eastAsia="方正仿宋_GBK" w:cs="Times New Roman"/>
          <w:bCs/>
          <w:color w:val="000000"/>
          <w:sz w:val="32"/>
          <w:szCs w:val="32"/>
        </w:rPr>
        <w:t>缺锌地块</w:t>
      </w:r>
      <w:r>
        <w:rPr>
          <w:rFonts w:hint="eastAsia" w:ascii="Times New Roman" w:hAnsi="Times New Roman" w:eastAsia="方正仿宋_GBK" w:cs="Times New Roman"/>
          <w:bCs/>
          <w:color w:val="000000"/>
          <w:sz w:val="32"/>
          <w:szCs w:val="32"/>
          <w:lang w:eastAsia="zh-CN"/>
        </w:rPr>
        <w:t>亩</w:t>
      </w:r>
      <w:r>
        <w:rPr>
          <w:rFonts w:hint="eastAsia" w:ascii="Times New Roman" w:hAnsi="Times New Roman" w:eastAsia="方正仿宋_GBK" w:cs="Times New Roman"/>
          <w:bCs/>
          <w:color w:val="000000"/>
          <w:sz w:val="32"/>
          <w:szCs w:val="32"/>
          <w:lang w:val="en-US" w:eastAsia="zh-CN"/>
        </w:rPr>
        <w:t>基</w:t>
      </w:r>
      <w:r>
        <w:rPr>
          <w:rFonts w:hint="default" w:ascii="Times New Roman" w:hAnsi="Times New Roman" w:eastAsia="方正仿宋_GBK" w:cs="Times New Roman"/>
          <w:bCs/>
          <w:color w:val="000000"/>
          <w:sz w:val="32"/>
          <w:szCs w:val="32"/>
        </w:rPr>
        <w:t>施一水硫酸锌</w:t>
      </w:r>
      <w:r>
        <w:rPr>
          <w:rFonts w:hint="eastAsia" w:ascii="Times New Roman" w:hAnsi="Times New Roman" w:eastAsia="方正仿宋_GBK" w:cs="Times New Roman"/>
          <w:bCs/>
          <w:color w:val="000000"/>
          <w:sz w:val="32"/>
          <w:szCs w:val="32"/>
          <w:lang w:val="en-US" w:eastAsia="zh-CN"/>
        </w:rPr>
        <w:t>1公斤</w:t>
      </w:r>
      <w:r>
        <w:rPr>
          <w:rFonts w:hint="eastAsia" w:ascii="Times New Roman" w:hAnsi="Times New Roman" w:eastAsia="方正仿宋_GBK" w:cs="Times New Roman"/>
          <w:bCs/>
          <w:color w:val="000000"/>
          <w:sz w:val="32"/>
          <w:szCs w:val="32"/>
          <w:lang w:eastAsia="zh-CN"/>
        </w:rPr>
        <w:t>左右</w:t>
      </w:r>
      <w:r>
        <w:rPr>
          <w:rFonts w:hint="eastAsia" w:ascii="Times New Roman" w:hAnsi="Times New Roman" w:eastAsia="方正仿宋_GBK" w:cs="Times New Roman"/>
          <w:bCs/>
          <w:color w:val="000000"/>
          <w:sz w:val="32"/>
          <w:szCs w:val="32"/>
          <w:lang w:val="en-US" w:eastAsia="zh-CN"/>
        </w:rPr>
        <w:t>或通过叶面喷施锌肥</w:t>
      </w:r>
      <w:r>
        <w:rPr>
          <w:rFonts w:hint="eastAsia" w:ascii="Times New Roman" w:hAnsi="Times New Roman" w:eastAsia="方正仿宋_GBK" w:cs="Times New Roman"/>
          <w:bCs/>
          <w:color w:val="000000"/>
          <w:sz w:val="32"/>
          <w:szCs w:val="32"/>
          <w:lang w:eastAsia="zh-CN"/>
        </w:rPr>
        <w:t>，</w:t>
      </w:r>
      <w:r>
        <w:rPr>
          <w:rFonts w:hint="eastAsia" w:ascii="Times New Roman" w:hAnsi="Times New Roman" w:eastAsia="方正仿宋_GBK" w:cs="Times New Roman"/>
          <w:bCs/>
          <w:color w:val="000000"/>
          <w:sz w:val="32"/>
          <w:szCs w:val="32"/>
          <w:lang w:val="en-US" w:eastAsia="zh-CN"/>
        </w:rPr>
        <w:t>提高水稻产量和品质</w:t>
      </w:r>
      <w:r>
        <w:rPr>
          <w:rFonts w:hint="default" w:ascii="Times New Roman" w:hAnsi="Times New Roman" w:eastAsia="方正仿宋_GBK" w:cs="Times New Roman"/>
          <w:bCs/>
          <w:color w:val="000000"/>
          <w:sz w:val="32"/>
          <w:szCs w:val="32"/>
        </w:rPr>
        <w:t>。</w:t>
      </w:r>
    </w:p>
    <w:p>
      <w:pPr>
        <w:keepNext w:val="0"/>
        <w:keepLines w:val="0"/>
        <w:pageBreakBefore w:val="0"/>
        <w:widowControl w:val="0"/>
        <w:numPr>
          <w:ilvl w:val="0"/>
          <w:numId w:val="0"/>
        </w:numPr>
        <w:kinsoku/>
        <w:wordWrap/>
        <w:topLinePunct w:val="0"/>
        <w:autoSpaceDE/>
        <w:bidi w:val="0"/>
        <w:adjustRightInd/>
        <w:snapToGrid/>
        <w:spacing w:line="560" w:lineRule="exact"/>
        <w:ind w:firstLine="640" w:firstLineChars="200"/>
        <w:textAlignment w:val="auto"/>
        <w:rPr>
          <w:rFonts w:hint="default" w:ascii="Times New Roman" w:hAnsi="Times New Roman" w:eastAsia="方正仿宋_GBK" w:cs="Times New Roman"/>
          <w:color w:val="auto"/>
          <w:sz w:val="32"/>
          <w:szCs w:val="32"/>
          <w:lang w:val="en-US" w:eastAsia="zh-CN"/>
        </w:rPr>
      </w:pPr>
    </w:p>
    <w:p>
      <w:pPr>
        <w:keepNext w:val="0"/>
        <w:keepLines w:val="0"/>
        <w:pageBreakBefore w:val="0"/>
        <w:widowControl w:val="0"/>
        <w:kinsoku/>
        <w:wordWrap/>
        <w:topLinePunct w:val="0"/>
        <w:autoSpaceDE/>
        <w:bidi w:val="0"/>
        <w:adjustRightInd/>
        <w:snapToGrid/>
        <w:spacing w:line="560" w:lineRule="exact"/>
        <w:textAlignment w:val="auto"/>
        <w:rPr>
          <w:rFonts w:hint="default" w:ascii="Times New Roman" w:hAnsi="Times New Roman" w:eastAsia="方正仿宋_GBK" w:cs="Times New Roman"/>
          <w:color w:val="auto"/>
          <w:sz w:val="32"/>
          <w:szCs w:val="32"/>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黑体_GBK">
    <w:altName w:val="微软雅黑"/>
    <w:panose1 w:val="03000509000000000000"/>
    <w:charset w:val="86"/>
    <w:family w:val="script"/>
    <w:pitch w:val="default"/>
    <w:sig w:usb0="00000000" w:usb1="00000000" w:usb2="00000000" w:usb3="00000000" w:csb0="00040000" w:csb1="00000000"/>
  </w:font>
  <w:font w:name="方正仿宋_GBK">
    <w:altName w:val="微软雅黑"/>
    <w:panose1 w:val="03000509000000000000"/>
    <w:charset w:val="86"/>
    <w:family w:val="script"/>
    <w:pitch w:val="default"/>
    <w:sig w:usb0="00000000" w:usb1="00000000" w:usb2="00000000" w:usb3="00000000" w:csb0="00040000" w:csb1="00000000"/>
  </w:font>
  <w:font w:name="方正小标宋_GBK">
    <w:altName w:val="微软雅黑"/>
    <w:panose1 w:val="03000509000000000000"/>
    <w:charset w:val="86"/>
    <w:family w:val="script"/>
    <w:pitch w:val="default"/>
    <w:sig w:usb0="00000000" w:usb1="00000000" w:usb2="00000000" w:usb3="00000000" w:csb0="00040000" w:csb1="00000000"/>
  </w:font>
  <w:font w:name="方正楷体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21B5A6"/>
    <w:multiLevelType w:val="singleLevel"/>
    <w:tmpl w:val="9B21B5A6"/>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gzMmY5ZDI3ZjFhOGM3NDQ0ODQ1NTFkNGU3MjViMDQifQ=="/>
  </w:docVars>
  <w:rsids>
    <w:rsidRoot w:val="2EFD5717"/>
    <w:rsid w:val="2EFD57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2024-06-05T08:29:00Z</dcterms:created>
  <dc:creator>梁永红(liangyonghong)</dc:creator>
  <cp:lastModifiedBy>梁永红(liangyonghong)</cp:lastModifiedBy>
  <dcterms:modified xsi:type="dcterms:W3CDTF">2024-06-05T08:30:21Z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315FD105989E4C47B32EFBAC60F38156</vt:lpwstr>
  </property>
</Properties>
</file>