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0A5AA2">
      <w:pPr>
        <w:ind w:firstLine="0" w:firstLineChars="0"/>
        <w:rPr>
          <w:rFonts w:hint="default" w:ascii="Times New Roman" w:hAnsi="Times New Roman" w:eastAsia="方正黑体_GBK" w:cs="Times New Roman"/>
          <w:sz w:val="32"/>
          <w:szCs w:val="32"/>
          <w:lang w:val="en-US"/>
        </w:rPr>
      </w:pP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rPr>
        <w:t>2</w:t>
      </w:r>
    </w:p>
    <w:p w14:paraId="12C88B6D">
      <w:pPr>
        <w:ind w:firstLine="0" w:firstLineChars="0"/>
        <w:rPr>
          <w:rFonts w:hint="default" w:ascii="Times New Roman" w:hAnsi="Times New Roman" w:eastAsia="方正黑体_GBK" w:cs="Times New Roman"/>
          <w:sz w:val="32"/>
          <w:szCs w:val="32"/>
          <w:lang w:val="en-US"/>
        </w:rPr>
      </w:pPr>
    </w:p>
    <w:p w14:paraId="62DA1241">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_GBK" w:cs="Times New Roman"/>
          <w:color w:val="000000" w:themeColor="text1"/>
          <w:sz w:val="44"/>
          <w:szCs w:val="44"/>
          <w:lang w:val="en-US" w:eastAsia="zh-CN"/>
          <w14:textFill>
            <w14:solidFill>
              <w14:schemeClr w14:val="tx1"/>
            </w14:solidFill>
          </w14:textFill>
        </w:rPr>
      </w:pPr>
      <w:r>
        <w:rPr>
          <w:rFonts w:hint="default" w:ascii="Times New Roman" w:hAnsi="Times New Roman" w:eastAsia="方正小标宋_GBK" w:cs="Times New Roman"/>
          <w:color w:val="000000" w:themeColor="text1"/>
          <w:sz w:val="44"/>
          <w:szCs w:val="44"/>
          <w14:textFill>
            <w14:solidFill>
              <w14:schemeClr w14:val="tx1"/>
            </w14:solidFill>
          </w14:textFill>
        </w:rPr>
        <w:t>《江苏省</w:t>
      </w:r>
      <w:r>
        <w:rPr>
          <w:rFonts w:hint="default" w:ascii="Times New Roman" w:hAnsi="Times New Roman" w:eastAsia="方正小标宋_GBK" w:cs="Times New Roman"/>
          <w:color w:val="000000" w:themeColor="text1"/>
          <w:sz w:val="44"/>
          <w:szCs w:val="44"/>
          <w:lang w:eastAsia="zh-CN"/>
          <w14:textFill>
            <w14:solidFill>
              <w14:schemeClr w14:val="tx1"/>
            </w14:solidFill>
          </w14:textFill>
        </w:rPr>
        <w:t>畜牧兽医领域轻微违法行为不予行政处罚清单</w:t>
      </w:r>
      <w:r>
        <w:rPr>
          <w:rFonts w:hint="eastAsia" w:ascii="Times New Roman" w:hAnsi="Times New Roman" w:eastAsia="方正小标宋_GBK" w:cs="Times New Roman"/>
          <w:color w:val="000000" w:themeColor="text1"/>
          <w:sz w:val="44"/>
          <w:szCs w:val="44"/>
          <w:lang w:eastAsia="zh-CN"/>
          <w14:textFill>
            <w14:solidFill>
              <w14:schemeClr w14:val="tx1"/>
            </w14:solidFill>
          </w14:textFill>
        </w:rPr>
        <w:t>（征求意见稿）</w:t>
      </w:r>
      <w:r>
        <w:rPr>
          <w:rFonts w:hint="default" w:ascii="Times New Roman" w:hAnsi="Times New Roman" w:eastAsia="方正小标宋_GBK" w:cs="Times New Roman"/>
          <w:color w:val="000000" w:themeColor="text1"/>
          <w:sz w:val="44"/>
          <w:szCs w:val="44"/>
          <w14:textFill>
            <w14:solidFill>
              <w14:schemeClr w14:val="tx1"/>
            </w14:solidFill>
          </w14:textFill>
        </w:rPr>
        <w:t>》</w:t>
      </w:r>
      <w:r>
        <w:rPr>
          <w:rFonts w:hint="eastAsia" w:ascii="Times New Roman" w:hAnsi="Times New Roman" w:eastAsia="方正小标宋_GBK" w:cs="Times New Roman"/>
          <w:color w:val="000000" w:themeColor="text1"/>
          <w:sz w:val="44"/>
          <w:szCs w:val="44"/>
          <w:lang w:val="en-US" w:eastAsia="zh-CN"/>
          <w14:textFill>
            <w14:solidFill>
              <w14:schemeClr w14:val="tx1"/>
            </w14:solidFill>
          </w14:textFill>
        </w:rPr>
        <w:t>起草说明</w:t>
      </w:r>
    </w:p>
    <w:p w14:paraId="45984455">
      <w:pPr>
        <w:pStyle w:val="6"/>
        <w:keepNext w:val="0"/>
        <w:keepLines w:val="0"/>
        <w:pageBreakBefore w:val="0"/>
        <w:kinsoku/>
        <w:wordWrap/>
        <w:overflowPunct/>
        <w:topLinePunct w:val="0"/>
        <w:autoSpaceDE/>
        <w:autoSpaceDN/>
        <w:bidi w:val="0"/>
        <w:adjustRightInd/>
        <w:snapToGrid/>
        <w:spacing w:after="0" w:line="560" w:lineRule="exact"/>
        <w:ind w:left="0" w:leftChars="0" w:right="0" w:rightChars="0" w:firstLine="0" w:firstLineChars="0"/>
        <w:jc w:val="both"/>
        <w:rPr>
          <w:rFonts w:hint="default" w:ascii="Times New Roman" w:hAnsi="Times New Roman" w:eastAsia="方正仿宋_GBK" w:cs="Times New Roman"/>
          <w:b w:val="0"/>
          <w:i w:val="0"/>
          <w:caps w:val="0"/>
          <w:color w:val="000000" w:themeColor="text1"/>
          <w:spacing w:val="0"/>
          <w:w w:val="100"/>
          <w:kern w:val="2"/>
          <w:sz w:val="32"/>
          <w:szCs w:val="32"/>
          <w:lang w:val="en-US" w:eastAsia="zh-CN" w:bidi="ar-SA"/>
          <w14:textFill>
            <w14:solidFill>
              <w14:schemeClr w14:val="tx1"/>
            </w14:solidFill>
          </w14:textFill>
        </w:rPr>
      </w:pPr>
    </w:p>
    <w:p w14:paraId="029DF362">
      <w:pPr>
        <w:keepNext w:val="0"/>
        <w:keepLines w:val="0"/>
        <w:pageBreakBefore w:val="0"/>
        <w:numPr>
          <w:ilvl w:val="0"/>
          <w:numId w:val="1"/>
        </w:numPr>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制定的必要性</w:t>
      </w:r>
    </w:p>
    <w:p w14:paraId="5DD96C8B">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《中华人民共和国行政处罚法》第三十三条规定了违法行为依法不予行政处罚的原则性情形</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《江苏省优化营商环境行动方案（2025版）》</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明确要求</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eastAsia" w:ascii="Times New Roman" w:hAnsi="Times New Roman" w:eastAsia="方正仿宋_GBK" w:cs="Times New Roman"/>
          <w:i w:val="0"/>
          <w:iCs w:val="0"/>
          <w:caps w:val="0"/>
          <w:color w:val="000000" w:themeColor="text1"/>
          <w:spacing w:val="0"/>
          <w:sz w:val="32"/>
          <w:szCs w:val="32"/>
          <w14:textFill>
            <w14:solidFill>
              <w14:schemeClr w14:val="tx1"/>
            </w14:solidFill>
          </w14:textFill>
        </w:rPr>
        <w:t>大力推进包容审慎监管和服务型执法，探索构建预防为主、轻微免罚、重违严惩、过罚相当、事后回访的执法模式。</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制定《江苏省</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畜牧兽医领域轻微违法行为不予行政处罚清单</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》（以下简称《不予处罚清单》）</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持续营造法治化营商环境</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构建新型监管机制，</w:t>
      </w:r>
      <w:r>
        <w:rPr>
          <w:rFonts w:hint="eastAsia" w:ascii="Times New Roman" w:hAnsi="Times New Roman" w:eastAsia="方正仿宋_GBK" w:cs="Times New Roman"/>
          <w:i w:val="0"/>
          <w:iCs w:val="0"/>
          <w:caps w:val="0"/>
          <w:color w:val="000000" w:themeColor="text1"/>
          <w:spacing w:val="0"/>
          <w:sz w:val="32"/>
          <w:szCs w:val="32"/>
          <w14:textFill>
            <w14:solidFill>
              <w14:schemeClr w14:val="tx1"/>
            </w14:solidFill>
          </w14:textFill>
        </w:rPr>
        <w:t>推进包容审慎监管</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的</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具体措施，有助于防范执法尺度不一、</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处罚</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不公平</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等行为</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p>
    <w:p w14:paraId="23CF423F">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二、制定依据</w:t>
      </w:r>
    </w:p>
    <w:p w14:paraId="6971EEAF">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pP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1、</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《中华人民共和国行政处罚法》</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2021年1月22日第十三届全国人民代表大会常务委员会第二十五次会议修订</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通过，</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2021年7月15日起施行）</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第三十三条</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违法行为轻微并及时改正，没有造成危害后果的，不予行政处罚。初次违法且危害后果轻微并及时改正的，可以不予行政处罚。</w:t>
      </w:r>
    </w:p>
    <w:p w14:paraId="19A36846">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当事人有证据足以证明没有主观过错的，不予行政处罚。法律、行政法规另有规定的，从其规定。</w:t>
      </w:r>
    </w:p>
    <w:p w14:paraId="7C440C9F">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对当事人的违法行为依法不予行政处罚的，行政机关应当对当事人进行教育。</w:t>
      </w:r>
    </w:p>
    <w:p w14:paraId="16C63287">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pP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2、</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《江苏省优化营商环境条例》</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由江苏省第十三届人民代表大会常务委员会第十九次会议于2020年11月27日通过，自2021年1月1日起施行</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第六十二条</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对市场主体违法行为情节轻微的，可以依法从轻、减轻行政处罚；及时纠正且没有造成危害后果的，可以采取约谈、教育、告诫等措施，依法不予行政处罚。根据《中华人民共和国行政处罚法》关于免于或者从轻、减轻处罚的规定精神，省、设区的市人民政府有关部门可以制定涉企轻微违法行为不予行政处罚和涉企一般违法行为从轻减轻行政处罚的清单，并向社会公布。</w:t>
      </w:r>
    </w:p>
    <w:p w14:paraId="5B70BF94">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省和设区的市人民政府有关部门应当梳理、细化和量化行政处罚裁量基准，确定处罚的依据和裁量范围、种类和幅度，统一执法标准和尺度。</w:t>
      </w:r>
    </w:p>
    <w:p w14:paraId="167C573A">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三、</w:t>
      </w:r>
      <w:r>
        <w:rPr>
          <w:rFonts w:hint="default" w:ascii="Times New Roman" w:hAnsi="Times New Roman" w:eastAsia="方正黑体_GBK" w:cs="Times New Roman"/>
          <w:sz w:val="32"/>
          <w:szCs w:val="32"/>
          <w:lang w:val="en-US" w:eastAsia="zh-CN"/>
        </w:rPr>
        <w:t>制定过程</w:t>
      </w:r>
    </w:p>
    <w:p w14:paraId="61463BC3">
      <w:pPr>
        <w:keepNext w:val="0"/>
        <w:keepLines w:val="0"/>
        <w:pageBreakBefore w:val="0"/>
        <w:numPr>
          <w:ilvl w:val="0"/>
          <w:numId w:val="0"/>
        </w:numPr>
        <w:kinsoku/>
        <w:wordWrap/>
        <w:overflowPunct/>
        <w:topLinePunct w:val="0"/>
        <w:autoSpaceDE/>
        <w:autoSpaceDN/>
        <w:bidi w:val="0"/>
        <w:adjustRightInd/>
        <w:snapToGrid/>
        <w:spacing w:line="560" w:lineRule="exact"/>
        <w:rPr>
          <w:rFonts w:hint="default"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 xml:space="preserve">    202</w:t>
      </w:r>
      <w:r>
        <w:rPr>
          <w:rFonts w:hint="eastAsia" w:ascii="Times New Roman" w:hAnsi="Times New Roman" w:eastAsia="方正仿宋_GBK" w:cs="Times New Roman"/>
          <w:kern w:val="0"/>
          <w:sz w:val="32"/>
          <w:szCs w:val="32"/>
          <w:lang w:val="en-US" w:eastAsia="zh-CN"/>
        </w:rPr>
        <w:t>5</w:t>
      </w:r>
      <w:r>
        <w:rPr>
          <w:rFonts w:hint="default" w:ascii="Times New Roman" w:hAnsi="Times New Roman" w:eastAsia="方正仿宋_GBK" w:cs="Times New Roman"/>
          <w:kern w:val="0"/>
          <w:sz w:val="32"/>
          <w:szCs w:val="32"/>
          <w:lang w:val="en-US" w:eastAsia="zh-CN"/>
        </w:rPr>
        <w:t>年</w:t>
      </w:r>
      <w:r>
        <w:rPr>
          <w:rFonts w:hint="eastAsia" w:ascii="Times New Roman" w:hAnsi="Times New Roman" w:eastAsia="方正仿宋_GBK" w:cs="Times New Roman"/>
          <w:kern w:val="0"/>
          <w:sz w:val="32"/>
          <w:szCs w:val="32"/>
          <w:lang w:val="en-US" w:eastAsia="zh-CN"/>
        </w:rPr>
        <w:t>2</w:t>
      </w:r>
      <w:r>
        <w:rPr>
          <w:rFonts w:hint="default" w:ascii="Times New Roman" w:hAnsi="Times New Roman" w:eastAsia="方正仿宋_GBK" w:cs="Times New Roman"/>
          <w:kern w:val="0"/>
          <w:sz w:val="32"/>
          <w:szCs w:val="32"/>
          <w:lang w:val="en-US" w:eastAsia="zh-CN"/>
        </w:rPr>
        <w:t>月</w:t>
      </w:r>
      <w:r>
        <w:rPr>
          <w:rFonts w:hint="eastAsia" w:ascii="Times New Roman" w:hAnsi="Times New Roman" w:eastAsia="方正仿宋_GBK" w:cs="Times New Roman"/>
          <w:kern w:val="0"/>
          <w:sz w:val="32"/>
          <w:szCs w:val="32"/>
          <w:lang w:val="en-US" w:eastAsia="zh-CN"/>
        </w:rPr>
        <w:t>，</w:t>
      </w:r>
      <w:r>
        <w:rPr>
          <w:rFonts w:hint="default" w:ascii="Times New Roman" w:hAnsi="Times New Roman" w:eastAsia="方正仿宋_GBK" w:cs="Times New Roman"/>
          <w:kern w:val="0"/>
          <w:sz w:val="32"/>
          <w:szCs w:val="32"/>
          <w:lang w:val="en-US" w:eastAsia="zh-CN"/>
        </w:rPr>
        <w:t>开展《不予处罚清单》的起草工作，通过</w:t>
      </w:r>
      <w:r>
        <w:rPr>
          <w:rFonts w:hint="eastAsia" w:ascii="Times New Roman" w:hAnsi="Times New Roman" w:eastAsia="方正仿宋_GBK" w:cs="Times New Roman"/>
          <w:kern w:val="0"/>
          <w:sz w:val="32"/>
          <w:szCs w:val="32"/>
          <w:lang w:val="en-US" w:eastAsia="zh-CN"/>
        </w:rPr>
        <w:t>机构调研</w:t>
      </w:r>
      <w:r>
        <w:rPr>
          <w:rFonts w:hint="default" w:ascii="Times New Roman" w:hAnsi="Times New Roman" w:eastAsia="方正仿宋_GBK" w:cs="Times New Roman"/>
          <w:kern w:val="0"/>
          <w:sz w:val="32"/>
          <w:szCs w:val="32"/>
          <w:lang w:val="en-US" w:eastAsia="zh-CN"/>
        </w:rPr>
        <w:t>、实地走访、座谈研讨、政策研究等方式，参考上海、</w:t>
      </w:r>
      <w:r>
        <w:rPr>
          <w:rFonts w:hint="eastAsia" w:ascii="Times New Roman" w:hAnsi="Times New Roman" w:eastAsia="方正仿宋_GBK" w:cs="Times New Roman"/>
          <w:kern w:val="0"/>
          <w:sz w:val="32"/>
          <w:szCs w:val="32"/>
          <w:lang w:val="en-US" w:eastAsia="zh-CN"/>
        </w:rPr>
        <w:t>广州等地制定相关</w:t>
      </w:r>
      <w:r>
        <w:rPr>
          <w:rFonts w:hint="default" w:ascii="Times New Roman" w:hAnsi="Times New Roman" w:eastAsia="方正仿宋_GBK" w:cs="Times New Roman"/>
          <w:kern w:val="0"/>
          <w:sz w:val="32"/>
          <w:szCs w:val="32"/>
          <w:lang w:val="en-US" w:eastAsia="zh-CN"/>
        </w:rPr>
        <w:t>不予处罚清单的</w:t>
      </w:r>
      <w:r>
        <w:rPr>
          <w:rFonts w:hint="eastAsia" w:ascii="Times New Roman" w:hAnsi="Times New Roman" w:eastAsia="方正仿宋_GBK" w:cs="Times New Roman"/>
          <w:kern w:val="0"/>
          <w:sz w:val="32"/>
          <w:szCs w:val="32"/>
          <w:lang w:val="en-US" w:eastAsia="zh-CN"/>
        </w:rPr>
        <w:t>做法</w:t>
      </w:r>
      <w:r>
        <w:rPr>
          <w:rFonts w:hint="default" w:ascii="Times New Roman" w:hAnsi="Times New Roman" w:eastAsia="方正仿宋_GBK" w:cs="Times New Roman"/>
          <w:kern w:val="0"/>
          <w:sz w:val="32"/>
          <w:szCs w:val="32"/>
          <w:lang w:val="en-US" w:eastAsia="zh-CN"/>
        </w:rPr>
        <w:t>，并</w:t>
      </w:r>
      <w:r>
        <w:rPr>
          <w:rFonts w:hint="eastAsia" w:ascii="Times New Roman" w:hAnsi="Times New Roman" w:eastAsia="方正仿宋_GBK" w:cs="Times New Roman"/>
          <w:kern w:val="0"/>
          <w:sz w:val="32"/>
          <w:szCs w:val="32"/>
          <w:lang w:val="en-US" w:eastAsia="zh-CN"/>
        </w:rPr>
        <w:t>在</w:t>
      </w:r>
      <w:r>
        <w:rPr>
          <w:rFonts w:hint="default" w:ascii="Times New Roman" w:hAnsi="Times New Roman" w:eastAsia="方正仿宋_GBK" w:cs="Times New Roman"/>
          <w:kern w:val="0"/>
          <w:sz w:val="32"/>
          <w:szCs w:val="32"/>
          <w:lang w:val="en-US" w:eastAsia="zh-CN"/>
        </w:rPr>
        <w:t>广泛</w:t>
      </w:r>
      <w:r>
        <w:rPr>
          <w:rFonts w:hint="eastAsia" w:ascii="Times New Roman" w:hAnsi="Times New Roman" w:eastAsia="方正仿宋_GBK" w:cs="Times New Roman"/>
          <w:kern w:val="0"/>
          <w:sz w:val="32"/>
          <w:szCs w:val="32"/>
          <w:lang w:val="en-US" w:eastAsia="zh-CN"/>
        </w:rPr>
        <w:t>听取</w:t>
      </w:r>
      <w:r>
        <w:rPr>
          <w:rFonts w:hint="default" w:ascii="Times New Roman" w:hAnsi="Times New Roman" w:eastAsia="方正仿宋_GBK" w:cs="Times New Roman"/>
          <w:kern w:val="0"/>
          <w:sz w:val="32"/>
          <w:szCs w:val="32"/>
          <w:lang w:val="en-US" w:eastAsia="zh-CN"/>
        </w:rPr>
        <w:t>行业专家和动物诊疗</w:t>
      </w:r>
      <w:r>
        <w:rPr>
          <w:rFonts w:hint="eastAsia" w:ascii="Times New Roman" w:hAnsi="Times New Roman" w:eastAsia="方正仿宋_GBK" w:cs="Times New Roman"/>
          <w:kern w:val="0"/>
          <w:sz w:val="32"/>
          <w:szCs w:val="32"/>
          <w:lang w:val="en-US" w:eastAsia="zh-CN"/>
        </w:rPr>
        <w:t>行业协会、</w:t>
      </w:r>
      <w:r>
        <w:rPr>
          <w:rFonts w:hint="default" w:ascii="Times New Roman" w:hAnsi="Times New Roman" w:eastAsia="方正仿宋_GBK" w:cs="Times New Roman"/>
          <w:kern w:val="0"/>
          <w:sz w:val="32"/>
          <w:szCs w:val="32"/>
          <w:lang w:val="en-US" w:eastAsia="zh-CN"/>
        </w:rPr>
        <w:t>机构负责人意见建议</w:t>
      </w:r>
      <w:r>
        <w:rPr>
          <w:rFonts w:hint="eastAsia" w:ascii="Times New Roman" w:hAnsi="Times New Roman" w:eastAsia="方正仿宋_GBK" w:cs="Times New Roman"/>
          <w:kern w:val="0"/>
          <w:sz w:val="32"/>
          <w:szCs w:val="32"/>
          <w:lang w:val="en-US" w:eastAsia="zh-CN"/>
        </w:rPr>
        <w:t>的基础上</w:t>
      </w:r>
      <w:r>
        <w:rPr>
          <w:rFonts w:hint="default" w:ascii="Times New Roman" w:hAnsi="Times New Roman" w:eastAsia="方正仿宋_GBK" w:cs="Times New Roman"/>
          <w:kern w:val="0"/>
          <w:sz w:val="32"/>
          <w:szCs w:val="32"/>
          <w:lang w:val="en-US" w:eastAsia="zh-CN"/>
        </w:rPr>
        <w:t>，形成了《不予处罚清单》初稿。</w:t>
      </w:r>
      <w:r>
        <w:rPr>
          <w:rFonts w:hint="eastAsia" w:ascii="Times New Roman" w:hAnsi="Times New Roman" w:eastAsia="方正仿宋_GBK" w:cs="Times New Roman"/>
          <w:kern w:val="0"/>
          <w:sz w:val="32"/>
          <w:szCs w:val="32"/>
          <w:lang w:val="en-US" w:eastAsia="zh-CN"/>
        </w:rPr>
        <w:t>2025年3-8</w:t>
      </w:r>
      <w:r>
        <w:rPr>
          <w:rFonts w:hint="default" w:ascii="Times New Roman" w:hAnsi="Times New Roman" w:eastAsia="方正仿宋_GBK" w:cs="Times New Roman"/>
          <w:kern w:val="0"/>
          <w:sz w:val="32"/>
          <w:szCs w:val="32"/>
          <w:lang w:val="en-US" w:eastAsia="zh-CN"/>
        </w:rPr>
        <w:t>月，</w:t>
      </w:r>
      <w:r>
        <w:rPr>
          <w:rFonts w:hint="eastAsia" w:ascii="Times New Roman" w:hAnsi="Times New Roman" w:eastAsia="方正仿宋_GBK" w:cs="Times New Roman"/>
          <w:kern w:val="0"/>
          <w:sz w:val="32"/>
          <w:szCs w:val="32"/>
          <w:lang w:val="en-US" w:eastAsia="zh-CN"/>
        </w:rPr>
        <w:t>多次组织</w:t>
      </w:r>
      <w:r>
        <w:rPr>
          <w:rFonts w:hint="default" w:ascii="Times New Roman" w:hAnsi="Times New Roman" w:eastAsia="方正仿宋_GBK" w:cs="Times New Roman"/>
          <w:kern w:val="0"/>
          <w:sz w:val="32"/>
          <w:szCs w:val="32"/>
          <w:lang w:val="en-US" w:eastAsia="zh-CN"/>
        </w:rPr>
        <w:t>畜牧兽医、法律法规等方面专家，对《不予处罚清单》初稿进行了</w:t>
      </w:r>
      <w:r>
        <w:rPr>
          <w:rFonts w:hint="eastAsia" w:ascii="Times New Roman" w:hAnsi="Times New Roman" w:eastAsia="方正仿宋_GBK" w:cs="Times New Roman"/>
          <w:kern w:val="0"/>
          <w:sz w:val="32"/>
          <w:szCs w:val="32"/>
          <w:lang w:val="en-US" w:eastAsia="zh-CN"/>
        </w:rPr>
        <w:t>讨论修改</w:t>
      </w:r>
      <w:r>
        <w:rPr>
          <w:rFonts w:hint="default" w:ascii="Times New Roman" w:hAnsi="Times New Roman" w:eastAsia="方正仿宋_GBK" w:cs="Times New Roman"/>
          <w:kern w:val="0"/>
          <w:sz w:val="32"/>
          <w:szCs w:val="32"/>
          <w:lang w:val="en-US" w:eastAsia="zh-CN"/>
        </w:rPr>
        <w:t>，形成了《不予处罚清单》（征求意见稿）</w:t>
      </w:r>
      <w:r>
        <w:rPr>
          <w:rFonts w:hint="eastAsia" w:ascii="Times New Roman" w:hAnsi="Times New Roman" w:eastAsia="方正仿宋_GBK" w:cs="Times New Roman"/>
          <w:kern w:val="0"/>
          <w:sz w:val="32"/>
          <w:szCs w:val="32"/>
          <w:lang w:val="en-US" w:eastAsia="zh-CN"/>
        </w:rPr>
        <w:t>。</w:t>
      </w:r>
    </w:p>
    <w:p w14:paraId="23A7705F">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四</w:t>
      </w:r>
      <w:r>
        <w:rPr>
          <w:rFonts w:hint="default" w:ascii="Times New Roman" w:hAnsi="Times New Roman" w:eastAsia="方正黑体_GBK" w:cs="Times New Roman"/>
          <w:sz w:val="32"/>
          <w:szCs w:val="32"/>
          <w:lang w:val="en-US" w:eastAsia="zh-CN"/>
        </w:rPr>
        <w:t>、主要</w:t>
      </w:r>
      <w:r>
        <w:rPr>
          <w:rFonts w:hint="default" w:ascii="Times New Roman" w:hAnsi="Times New Roman" w:eastAsia="方正黑体_GBK" w:cs="Times New Roman"/>
          <w:sz w:val="32"/>
          <w:szCs w:val="32"/>
        </w:rPr>
        <w:t>内容</w:t>
      </w:r>
    </w:p>
    <w:p w14:paraId="0F87A4CB">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《不予处罚清单》设定的本</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省畜牧兽医</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领域不予行政处罚轻微违法行为情形，主要涉及</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兽药、饲料、动物诊疗</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3个方面，共</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6</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条，</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其中兽药</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、饲料、动物诊疗</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各</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2条。</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由于</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兽药、饲料等</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涉及</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畜</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产品质量安全，公众关注度高，</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所列</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不予处罚情形，不触及影响</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产品</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质量安全的规定。</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动物诊疗</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所列</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的</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两种情形，一方面是回应监管对象的诉求，另一方面是通过依法设置免罚的条件，尽可能做到</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疏堵结合</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。以上</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不予处罚情形的</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设定</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非常慎重，</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6条</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均</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将</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“没有造成</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危害后果</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列为不予处罚的前置条件，最大程度避免了不予处罚带来的风险。</w:t>
      </w:r>
    </w:p>
    <w:p w14:paraId="38ADEE24">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第</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1</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条</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针对兽药使用单位使用劣兽药的行为的情形。执法实务中，劣兽药的判定</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相对较专业</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，大部分</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兽药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使用单位没有辨别劣兽药的能力。如果能够证明涉案劣兽药通过</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有资质的生产经营渠道</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购买，可以排除当事人的主观过错，</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且</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没有造成危害后果，</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认为该违法行为轻微，在及时改正后不予行政处罚。</w:t>
      </w:r>
    </w:p>
    <w:p w14:paraId="020CBDE4">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第</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2</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条</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针对兽药使用单位未建立用药记录或者记录不完整真实的情形。规范用药记录的目的在于规范兽药使用，如果只是未建立用药记录或者记录不完整真实，初次违法且没有造成危害后果，</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认为该违法行为轻微，在及时改正后不予行政处罚。</w:t>
      </w:r>
    </w:p>
    <w:p w14:paraId="222D39E1">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第</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3</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条</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针对饲料、饲料添加剂生产企业未按规定实行采购、生产、销售记录制度的情形。如果饲料、饲料添加剂</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生产企业已建立采购、生产、销售记录制度仅</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记录不规范，初次违法且没有造成危害后果，</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认为该违法行为轻微，在及时改正后不予行政处罚。</w:t>
      </w:r>
    </w:p>
    <w:p w14:paraId="6181D964">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第4</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条</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针对饲料、饲料添加剂生产企业未按规定实行留样观察制度的情形。按照《饲料和饲料添加剂管理条例》规定，饲料、饲料添加剂生产企业应实行留样观察制度，并做好留样观察记录。如果企业已制定留样观察制度并实施留样观察，仅是留样观察记录不规范，且是初次违法并未造成危害后果，可认为违法行为轻微，在及时改正后不予行政处罚。</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 xml:space="preserve">  </w:t>
      </w:r>
    </w:p>
    <w:p w14:paraId="7ACE7CA9">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第</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5</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条</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针对</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动</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物诊疗机构将人用药品用于</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宠物</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的情形。随着</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社会经济的</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发展，宠物诊疗</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行业呈现快速发展态势</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。一些</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宠物</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（以猫、狗为主）疾病，尤其是畜牧养殖领域不涉及的高血脂、</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糖尿病</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等疾病，</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尚</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无对症治疗的合法兽药，为了探索提升动物福利，维护伴侣动物和人类的和谐关系，在</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无兽药可用</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的情况下使用人用药品是目前治疗宠物疾病的一种</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临时替代</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手段。</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因宠物疾病治疗需要，在</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没有</w:t>
      </w:r>
      <w:bookmarkStart w:id="0" w:name="_GoBack"/>
      <w:bookmarkEnd w:id="0"/>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合法兽药</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可用的情况下</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动</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物诊疗机构</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将人用药品用于</w:t>
      </w:r>
      <w:r>
        <w:rPr>
          <w:rFonts w:hint="default"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宠物</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，宠物所有者对用药知情并同意，且没有造成危害后果，</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认为违法行为轻微，不予行政处罚。</w:t>
      </w:r>
    </w:p>
    <w:p w14:paraId="0A384504">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第</w:t>
      </w:r>
      <w:r>
        <w:rPr>
          <w:rFonts w:hint="default"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6</w:t>
      </w:r>
      <w:r>
        <w:rPr>
          <w:rFonts w:hint="eastAsia" w:ascii="Times New Roman" w:hAnsi="Times New Roman" w:eastAsia="方正仿宋_GBK" w:cs="Times New Roman"/>
          <w:i w:val="0"/>
          <w:iCs w:val="0"/>
          <w:caps w:val="0"/>
          <w:color w:val="000000" w:themeColor="text1"/>
          <w:spacing w:val="0"/>
          <w:sz w:val="32"/>
          <w:szCs w:val="32"/>
          <w:lang w:val="en-US" w:eastAsia="zh-CN"/>
          <w14:textFill>
            <w14:solidFill>
              <w14:schemeClr w14:val="tx1"/>
            </w14:solidFill>
          </w14:textFill>
        </w:rPr>
        <w:t>条</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针对执业兽医不规范填写处方笺、病历的情形。</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因</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处方笺、病历</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要求较具体、细致，且</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不规范填写处方笺、病历的情形</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较易及时改正。因此，</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执业兽医不规范填写处方笺、病历的情形，</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如果是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初次违法并未造成危害后果，</w:t>
      </w:r>
      <w:r>
        <w:rPr>
          <w:rFonts w:hint="eastAsia" w:ascii="Times New Roman" w:hAnsi="Times New Roman" w:eastAsia="方正仿宋_GBK" w:cs="Times New Roman"/>
          <w:i w:val="0"/>
          <w:iCs w:val="0"/>
          <w:caps w:val="0"/>
          <w:color w:val="000000" w:themeColor="text1"/>
          <w:spacing w:val="0"/>
          <w:sz w:val="32"/>
          <w:szCs w:val="32"/>
          <w:lang w:eastAsia="zh-CN"/>
          <w14:textFill>
            <w14:solidFill>
              <w14:schemeClr w14:val="tx1"/>
            </w14:solidFill>
          </w14:textFill>
        </w:rPr>
        <w:t>可</w:t>
      </w: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认为违法行为轻微，在及时改正后不予行政处罚。</w:t>
      </w:r>
    </w:p>
    <w:p w14:paraId="11821ADD">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sz w:val="32"/>
          <w:szCs w:val="32"/>
        </w:rPr>
      </w:pPr>
      <w:r>
        <w:rPr>
          <w:rFonts w:hint="eastAsia" w:ascii="Times New Roman" w:hAnsi="Times New Roman" w:eastAsia="方正黑体_GBK" w:cs="Times New Roman"/>
          <w:sz w:val="32"/>
          <w:szCs w:val="32"/>
          <w:lang w:eastAsia="zh-CN"/>
        </w:rPr>
        <w:t>五</w:t>
      </w:r>
      <w:r>
        <w:rPr>
          <w:rFonts w:hint="default" w:ascii="Times New Roman" w:hAnsi="Times New Roman" w:eastAsia="方正黑体_GBK" w:cs="Times New Roman"/>
          <w:sz w:val="32"/>
          <w:szCs w:val="32"/>
        </w:rPr>
        <w:t>、其他说明</w:t>
      </w:r>
    </w:p>
    <w:p w14:paraId="3F4E7893">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pPr>
      <w:r>
        <w:rPr>
          <w:rFonts w:hint="default" w:ascii="Times New Roman" w:hAnsi="Times New Roman" w:eastAsia="方正仿宋_GBK" w:cs="Times New Roman"/>
          <w:i w:val="0"/>
          <w:iCs w:val="0"/>
          <w:caps w:val="0"/>
          <w:color w:val="000000" w:themeColor="text1"/>
          <w:spacing w:val="0"/>
          <w:sz w:val="32"/>
          <w:szCs w:val="32"/>
          <w14:textFill>
            <w14:solidFill>
              <w14:schemeClr w14:val="tx1"/>
            </w14:solidFill>
          </w14:textFill>
        </w:rPr>
        <w:t>对符合《不予处罚清单》规定的轻微违法行为情形，执法机构应当充分调查取证，作出不予处罚决定。对不予处罚的当事人应当给予教育指导，充分告知其违法事实、应当履行的义务、认定违法的理由依据，并指导其改正，督促其依法合规开展活动。《不予处罚清单》未列明的免罚情形，但符合《行政处罚法》等法律、法规、规章规定不予行政处罚情形的，也应当不予行政处罚。</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7B47FB"/>
    <w:multiLevelType w:val="singleLevel"/>
    <w:tmpl w:val="1E7B47F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530676"/>
    <w:rsid w:val="00E536C6"/>
    <w:rsid w:val="013A1735"/>
    <w:rsid w:val="019A6EAF"/>
    <w:rsid w:val="01AA1C89"/>
    <w:rsid w:val="04956B5B"/>
    <w:rsid w:val="06F10948"/>
    <w:rsid w:val="0C894E37"/>
    <w:rsid w:val="0D886840"/>
    <w:rsid w:val="0E3137D5"/>
    <w:rsid w:val="0E403DF0"/>
    <w:rsid w:val="10A100D7"/>
    <w:rsid w:val="134947B2"/>
    <w:rsid w:val="140751AA"/>
    <w:rsid w:val="15C26140"/>
    <w:rsid w:val="16856C77"/>
    <w:rsid w:val="17356021"/>
    <w:rsid w:val="18546479"/>
    <w:rsid w:val="18860F3F"/>
    <w:rsid w:val="19892FF3"/>
    <w:rsid w:val="1ACE7B06"/>
    <w:rsid w:val="1BB8252C"/>
    <w:rsid w:val="1C073510"/>
    <w:rsid w:val="1ED41446"/>
    <w:rsid w:val="20E93177"/>
    <w:rsid w:val="25E27E7E"/>
    <w:rsid w:val="272119E0"/>
    <w:rsid w:val="2759419E"/>
    <w:rsid w:val="27AB392B"/>
    <w:rsid w:val="2AED4A51"/>
    <w:rsid w:val="2AF3262F"/>
    <w:rsid w:val="2B25495E"/>
    <w:rsid w:val="2BCB58E6"/>
    <w:rsid w:val="2C862611"/>
    <w:rsid w:val="2CD06DD8"/>
    <w:rsid w:val="2D602DCF"/>
    <w:rsid w:val="2F9031AB"/>
    <w:rsid w:val="30657A14"/>
    <w:rsid w:val="30DF3B4F"/>
    <w:rsid w:val="311A0BDD"/>
    <w:rsid w:val="32B029E9"/>
    <w:rsid w:val="34234796"/>
    <w:rsid w:val="36400C61"/>
    <w:rsid w:val="365555C4"/>
    <w:rsid w:val="39040B00"/>
    <w:rsid w:val="396924FA"/>
    <w:rsid w:val="39D52BDD"/>
    <w:rsid w:val="3A0B282F"/>
    <w:rsid w:val="3E0840D2"/>
    <w:rsid w:val="3E704607"/>
    <w:rsid w:val="425E1513"/>
    <w:rsid w:val="440D2987"/>
    <w:rsid w:val="445D1E68"/>
    <w:rsid w:val="46120C85"/>
    <w:rsid w:val="486A0A26"/>
    <w:rsid w:val="48DD7197"/>
    <w:rsid w:val="49A54CC4"/>
    <w:rsid w:val="49D96075"/>
    <w:rsid w:val="49ED38CE"/>
    <w:rsid w:val="49FE45CF"/>
    <w:rsid w:val="4A054357"/>
    <w:rsid w:val="4A560FAD"/>
    <w:rsid w:val="4AE414ED"/>
    <w:rsid w:val="4B0110A9"/>
    <w:rsid w:val="4CD00DB3"/>
    <w:rsid w:val="4F2F0DC8"/>
    <w:rsid w:val="4FBA2B86"/>
    <w:rsid w:val="500E3561"/>
    <w:rsid w:val="50D3720B"/>
    <w:rsid w:val="526C73DE"/>
    <w:rsid w:val="55145A25"/>
    <w:rsid w:val="55B945F2"/>
    <w:rsid w:val="587C6CBB"/>
    <w:rsid w:val="58EA3D05"/>
    <w:rsid w:val="598A2EE8"/>
    <w:rsid w:val="5BC93EA4"/>
    <w:rsid w:val="5BDC1090"/>
    <w:rsid w:val="5BDE7B48"/>
    <w:rsid w:val="5C4A0EFD"/>
    <w:rsid w:val="5C741C04"/>
    <w:rsid w:val="5D5840D6"/>
    <w:rsid w:val="5D8C056F"/>
    <w:rsid w:val="5D9B1BA1"/>
    <w:rsid w:val="62AC3F90"/>
    <w:rsid w:val="6685501F"/>
    <w:rsid w:val="66C20E83"/>
    <w:rsid w:val="69CE4E49"/>
    <w:rsid w:val="6A224715"/>
    <w:rsid w:val="6B1E2EF3"/>
    <w:rsid w:val="6C327292"/>
    <w:rsid w:val="6DC954DB"/>
    <w:rsid w:val="6F2144A0"/>
    <w:rsid w:val="6FE05419"/>
    <w:rsid w:val="70400CB6"/>
    <w:rsid w:val="70C2380D"/>
    <w:rsid w:val="713524C7"/>
    <w:rsid w:val="729F6D81"/>
    <w:rsid w:val="72F85A7A"/>
    <w:rsid w:val="73530676"/>
    <w:rsid w:val="739B662B"/>
    <w:rsid w:val="73C053F4"/>
    <w:rsid w:val="73C4318F"/>
    <w:rsid w:val="73DB3A20"/>
    <w:rsid w:val="753F6E1E"/>
    <w:rsid w:val="76500947"/>
    <w:rsid w:val="7653210B"/>
    <w:rsid w:val="792564D0"/>
    <w:rsid w:val="797445F1"/>
    <w:rsid w:val="7A843575"/>
    <w:rsid w:val="7D7D15ED"/>
    <w:rsid w:val="7EC95166"/>
    <w:rsid w:val="7F7619B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宋体"/>
      <w:kern w:val="2"/>
      <w:sz w:val="21"/>
      <w:szCs w:val="22"/>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99"/>
    <w:pPr>
      <w:ind w:firstLine="200" w:firstLineChars="200"/>
    </w:pPr>
  </w:style>
  <w:style w:type="paragraph" w:styleId="4">
    <w:name w:val="Body Text"/>
    <w:basedOn w:val="1"/>
    <w:next w:val="1"/>
    <w:qFormat/>
    <w:uiPriority w:val="99"/>
    <w:pPr>
      <w:spacing w:afterAutospacing="0"/>
    </w:pPr>
  </w:style>
  <w:style w:type="paragraph" w:styleId="5">
    <w:name w:val="Normal (Web)"/>
    <w:basedOn w:val="1"/>
    <w:qFormat/>
    <w:uiPriority w:val="99"/>
    <w:pPr>
      <w:spacing w:before="100" w:beforeAutospacing="1" w:after="100" w:afterAutospacing="1"/>
      <w:ind w:left="0" w:right="0"/>
      <w:jc w:val="left"/>
    </w:pPr>
    <w:rPr>
      <w:kern w:val="0"/>
      <w:sz w:val="24"/>
      <w:lang w:val="en-US" w:eastAsia="zh-CN"/>
    </w:rPr>
  </w:style>
  <w:style w:type="paragraph" w:styleId="6">
    <w:name w:val="Body Text First Indent"/>
    <w:basedOn w:val="4"/>
    <w:next w:val="3"/>
    <w:qFormat/>
    <w:uiPriority w:val="99"/>
    <w:pPr>
      <w:spacing w:after="0"/>
      <w:ind w:firstLine="420" w:firstLineChars="100"/>
    </w:pPr>
    <w:rPr>
      <w:rFonts w:ascii="Calibri" w:hAnsi="Calibr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2239</Words>
  <Characters>2266</Characters>
  <Lines>0</Lines>
  <Paragraphs>0</Paragraphs>
  <TotalTime>1</TotalTime>
  <ScaleCrop>false</ScaleCrop>
  <LinksUpToDate>false</LinksUpToDate>
  <CharactersWithSpaces>2272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2025-08-08T02:57:00Z</dcterms:created>
  <dc:creator>娟娟</dc:creator>
  <cp:lastModifiedBy>WPS_1752478790</cp:lastModifiedBy>
  <dcterms:modified xsi:type="dcterms:W3CDTF">2025-09-08T07:02:18Z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A546E633F4C94D8E8FFA6EFD0559A7DA_13</vt:lpwstr>
  </property>
  <property fmtid="{D5CDD505-2E9C-101B-9397-08002B2CF9AE}" pid="4" name="KSOTemplateDocerSaveRecord">
    <vt:lpwstr>eyJoZGlkIjoiZGVlYTYyZGM0NGMwY2M3M2NlZWEwODJkNmJiYjIyY2YiLCJ1c2VySWQiOiIxNzE5NzkyNjk0In0=</vt:lpwstr>
  </property>
</Properties>
</file>