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303" w:tblpY="2313"/>
        <w:tblOverlap w:val="never"/>
        <w:tblW w:w="1324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727"/>
        <w:gridCol w:w="689"/>
        <w:gridCol w:w="992"/>
        <w:gridCol w:w="957"/>
        <w:gridCol w:w="875"/>
        <w:gridCol w:w="1193"/>
        <w:gridCol w:w="861"/>
        <w:gridCol w:w="1037"/>
        <w:gridCol w:w="926"/>
        <w:gridCol w:w="926"/>
        <w:gridCol w:w="629"/>
        <w:gridCol w:w="746"/>
        <w:gridCol w:w="832"/>
        <w:gridCol w:w="12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年份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区/县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中央补贴分配资金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可用资金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中央补贴结算资金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中央补贴使用资金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中央补贴使用资金（衔接部分）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中央补贴结算资金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中央补贴结算资金（衔接部分）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中央补贴使用比例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中央补贴结算比例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省补分配资金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省补使用资金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省补使用比例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省补可用资金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2024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经开区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45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45</w:t>
            </w: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100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%</w:t>
            </w: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100</w:t>
            </w:r>
            <w:r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  <w:t>%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44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10.078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22.9%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  <w:t>33.922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9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Helvetica" w:cs="Helvetica"/>
                <w:i w:val="0"/>
                <w:iCs w:val="0"/>
                <w:caps w:val="0"/>
                <w:color w:val="333333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Helvetica" w:hAnsi="Helvetica" w:eastAsia="宋体" w:cs="Helvetica"/>
                <w:i w:val="0"/>
                <w:iCs w:val="0"/>
                <w:caps w:val="0"/>
                <w:color w:val="333333"/>
                <w:spacing w:val="0"/>
                <w:sz w:val="21"/>
                <w:szCs w:val="21"/>
                <w:lang w:val="en-US" w:eastAsia="zh-CN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FlMzdjZDI0MWU2NzRiMTgxNDI2MjkxZjUxNzBmZTIifQ=="/>
  </w:docVars>
  <w:rsids>
    <w:rsidRoot w:val="00000000"/>
    <w:rsid w:val="06B00198"/>
    <w:rsid w:val="5EC55A3B"/>
    <w:rsid w:val="660248D1"/>
    <w:rsid w:val="6D73430E"/>
    <w:rsid w:val="6EB12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129</Words>
  <Characters>172</Characters>
  <Lines>0</Lines>
  <Paragraphs>0</Paragraphs>
  <TotalTime>2</TotalTime>
  <ScaleCrop>false</ScaleCrop>
  <LinksUpToDate>false</LinksUpToDate>
  <CharactersWithSpaces>172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2023-10-24T04:34:00Z</dcterms:created>
  <dc:creator>dn</dc:creator>
  <cp:lastModifiedBy>晶晶</cp:lastModifiedBy>
  <dcterms:modified xsi:type="dcterms:W3CDTF">2025-04-21T05:16:55Z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B94CCCB08ED94C9985217B7BEAE193A3</vt:lpwstr>
  </property>
</Properties>
</file>