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44D4AD">
      <w:pPr>
        <w:jc w:val="center"/>
        <w:rPr>
          <w:rFonts w:ascii="方正小标宋简体" w:eastAsia="方正小标宋简体"/>
          <w:sz w:val="44"/>
          <w:szCs w:val="44"/>
        </w:rPr>
      </w:pPr>
      <w:bookmarkStart w:id="0" w:name="_GoBack"/>
      <w:bookmarkEnd w:id="0"/>
      <w:r>
        <w:rPr>
          <w:rFonts w:hint="eastAsia" w:ascii="方正小标宋简体" w:eastAsia="方正小标宋简体"/>
          <w:sz w:val="44"/>
          <w:szCs w:val="44"/>
        </w:rPr>
        <w:t>202</w:t>
      </w:r>
      <w:r>
        <w:rPr>
          <w:rFonts w:ascii="方正小标宋简体" w:eastAsia="方正小标宋简体"/>
          <w:sz w:val="44"/>
          <w:szCs w:val="44"/>
        </w:rPr>
        <w:t>4</w:t>
      </w:r>
      <w:r>
        <w:rPr>
          <w:rFonts w:hint="eastAsia" w:ascii="方正小标宋简体" w:eastAsia="方正小标宋简体"/>
          <w:sz w:val="44"/>
          <w:szCs w:val="44"/>
        </w:rPr>
        <w:t>年农机购置补贴政策落实报告</w:t>
      </w:r>
    </w:p>
    <w:p w14:paraId="1B030C60">
      <w:pPr>
        <w:ind w:firstLine="560" w:firstLineChars="200"/>
        <w:rPr>
          <w:rFonts w:ascii="楷体" w:hAnsi="楷体" w:eastAsia="楷体"/>
          <w:sz w:val="28"/>
          <w:szCs w:val="28"/>
        </w:rPr>
      </w:pPr>
    </w:p>
    <w:p w14:paraId="44E2B735">
      <w:pPr>
        <w:spacing w:line="560" w:lineRule="exact"/>
        <w:ind w:firstLine="640" w:firstLineChars="200"/>
        <w:rPr>
          <w:rFonts w:ascii="仿宋" w:hAnsi="仿宋" w:eastAsia="仿宋"/>
          <w:sz w:val="32"/>
          <w:szCs w:val="32"/>
        </w:rPr>
      </w:pPr>
      <w:r>
        <w:rPr>
          <w:rFonts w:hint="eastAsia" w:ascii="仿宋" w:hAnsi="仿宋" w:eastAsia="仿宋"/>
          <w:sz w:val="32"/>
          <w:szCs w:val="32"/>
        </w:rPr>
        <w:t>连云港市农业农村局将农机购置补贴工作作为保障粮食安全、促进农民增收、助力乡村振兴的重要抓手做好农机购置补贴工作。现将有关情况如下：</w:t>
      </w:r>
    </w:p>
    <w:p w14:paraId="1F13A5C1">
      <w:pPr>
        <w:spacing w:line="560" w:lineRule="exact"/>
        <w:ind w:firstLine="640" w:firstLineChars="200"/>
        <w:rPr>
          <w:rFonts w:ascii="黑体" w:hAnsi="黑体" w:eastAsia="黑体"/>
          <w:sz w:val="32"/>
          <w:szCs w:val="32"/>
        </w:rPr>
      </w:pPr>
      <w:r>
        <w:rPr>
          <w:rFonts w:hint="eastAsia" w:ascii="黑体" w:hAnsi="黑体" w:eastAsia="黑体"/>
          <w:sz w:val="32"/>
          <w:szCs w:val="32"/>
        </w:rPr>
        <w:t>一、基本情况。</w:t>
      </w:r>
    </w:p>
    <w:p w14:paraId="305E452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2024年下达</w:t>
      </w:r>
      <w:r>
        <w:rPr>
          <w:rFonts w:hint="eastAsia" w:ascii="仿宋" w:hAnsi="仿宋" w:eastAsia="仿宋"/>
          <w:sz w:val="32"/>
          <w:szCs w:val="32"/>
          <w:lang w:val="en-US" w:eastAsia="zh-CN"/>
        </w:rPr>
        <w:t>我市</w:t>
      </w:r>
      <w:r>
        <w:rPr>
          <w:rFonts w:hint="eastAsia" w:ascii="仿宋" w:hAnsi="仿宋" w:eastAsia="仿宋"/>
          <w:sz w:val="32"/>
          <w:szCs w:val="32"/>
        </w:rPr>
        <w:t>中央财政补贴资金</w:t>
      </w:r>
      <w:r>
        <w:rPr>
          <w:rFonts w:hint="eastAsia" w:ascii="仿宋" w:hAnsi="仿宋" w:eastAsia="仿宋"/>
          <w:sz w:val="32"/>
          <w:szCs w:val="32"/>
          <w:lang w:val="en-US" w:eastAsia="zh-CN"/>
        </w:rPr>
        <w:t>15266</w:t>
      </w:r>
      <w:r>
        <w:rPr>
          <w:rFonts w:hint="eastAsia" w:ascii="仿宋" w:hAnsi="仿宋" w:eastAsia="仿宋"/>
          <w:sz w:val="32"/>
          <w:szCs w:val="32"/>
        </w:rPr>
        <w:t>万元</w:t>
      </w:r>
      <w:r>
        <w:rPr>
          <w:rFonts w:hint="eastAsia" w:ascii="仿宋" w:hAnsi="仿宋" w:eastAsia="仿宋"/>
          <w:sz w:val="32"/>
          <w:szCs w:val="32"/>
          <w:lang w:eastAsia="zh-CN"/>
        </w:rPr>
        <w:t>，省级财政补贴资金</w:t>
      </w:r>
      <w:r>
        <w:rPr>
          <w:rFonts w:hint="eastAsia" w:ascii="仿宋" w:hAnsi="仿宋" w:eastAsia="仿宋"/>
          <w:sz w:val="32"/>
          <w:szCs w:val="32"/>
          <w:lang w:val="en-US" w:eastAsia="zh-CN"/>
        </w:rPr>
        <w:t>4916万元，兑付完成之前年度（2023年12月31日前提交申请）的超录申请资金10736万元，</w:t>
      </w:r>
      <w:r>
        <w:rPr>
          <w:rFonts w:hint="eastAsia" w:ascii="仿宋" w:hAnsi="仿宋" w:eastAsia="仿宋"/>
          <w:sz w:val="32"/>
          <w:szCs w:val="32"/>
        </w:rPr>
        <w:t>2024年截止12月31日，全市累计申请录入</w:t>
      </w:r>
      <w:r>
        <w:rPr>
          <w:rFonts w:hint="eastAsia" w:ascii="仿宋" w:hAnsi="仿宋" w:eastAsia="仿宋"/>
          <w:sz w:val="32"/>
          <w:szCs w:val="32"/>
          <w:lang w:val="en-US" w:eastAsia="zh-CN"/>
        </w:rPr>
        <w:t>不补贴</w:t>
      </w:r>
      <w:r>
        <w:rPr>
          <w:rFonts w:hint="eastAsia" w:ascii="仿宋" w:hAnsi="仿宋" w:eastAsia="仿宋"/>
          <w:sz w:val="32"/>
          <w:szCs w:val="32"/>
        </w:rPr>
        <w:t>机具</w:t>
      </w:r>
      <w:r>
        <w:rPr>
          <w:rFonts w:hint="eastAsia" w:ascii="仿宋" w:hAnsi="仿宋" w:eastAsia="仿宋"/>
          <w:sz w:val="32"/>
          <w:szCs w:val="32"/>
          <w:lang w:val="en-US" w:eastAsia="zh-CN"/>
        </w:rPr>
        <w:t>7015</w:t>
      </w:r>
      <w:r>
        <w:rPr>
          <w:rFonts w:hint="eastAsia" w:ascii="仿宋" w:hAnsi="仿宋" w:eastAsia="仿宋"/>
          <w:sz w:val="32"/>
          <w:szCs w:val="32"/>
        </w:rPr>
        <w:t>台/套</w:t>
      </w:r>
      <w:r>
        <w:rPr>
          <w:rFonts w:hint="eastAsia" w:ascii="仿宋" w:hAnsi="仿宋" w:eastAsia="仿宋"/>
          <w:sz w:val="32"/>
          <w:szCs w:val="32"/>
          <w:lang w:eastAsia="zh-CN"/>
        </w:rPr>
        <w:t>，涉及补贴资金</w:t>
      </w:r>
      <w:r>
        <w:rPr>
          <w:rFonts w:hint="eastAsia" w:ascii="仿宋" w:hAnsi="仿宋" w:eastAsia="仿宋"/>
          <w:sz w:val="32"/>
          <w:szCs w:val="32"/>
          <w:lang w:val="en-US" w:eastAsia="zh-CN"/>
        </w:rPr>
        <w:t>13427.8</w:t>
      </w:r>
      <w:r>
        <w:rPr>
          <w:rFonts w:hint="eastAsia" w:ascii="仿宋" w:hAnsi="仿宋" w:eastAsia="仿宋"/>
          <w:sz w:val="32"/>
          <w:szCs w:val="32"/>
          <w:lang w:eastAsia="zh-CN"/>
        </w:rPr>
        <w:t>万元</w:t>
      </w:r>
      <w:r>
        <w:rPr>
          <w:rFonts w:hint="eastAsia" w:ascii="仿宋" w:hAnsi="仿宋" w:eastAsia="仿宋"/>
          <w:sz w:val="32"/>
          <w:szCs w:val="32"/>
        </w:rPr>
        <w:t>，受益农民和农业生产经营组织</w:t>
      </w:r>
      <w:r>
        <w:rPr>
          <w:rFonts w:hint="eastAsia" w:ascii="仿宋" w:hAnsi="仿宋" w:eastAsia="仿宋"/>
          <w:sz w:val="32"/>
          <w:szCs w:val="32"/>
          <w:lang w:val="en-US" w:eastAsia="zh-CN"/>
        </w:rPr>
        <w:t>约5080</w:t>
      </w:r>
      <w:r>
        <w:rPr>
          <w:rFonts w:hint="eastAsia" w:ascii="仿宋" w:hAnsi="仿宋" w:eastAsia="仿宋"/>
          <w:sz w:val="32"/>
          <w:szCs w:val="32"/>
        </w:rPr>
        <w:t>个，直接带动农民投入</w:t>
      </w:r>
      <w:r>
        <w:rPr>
          <w:rFonts w:hint="eastAsia" w:ascii="仿宋" w:hAnsi="仿宋" w:eastAsia="仿宋"/>
          <w:sz w:val="32"/>
          <w:szCs w:val="32"/>
          <w:lang w:val="en-US" w:eastAsia="zh-CN"/>
        </w:rPr>
        <w:t>约</w:t>
      </w:r>
      <w:r>
        <w:rPr>
          <w:rFonts w:hint="eastAsia" w:ascii="仿宋" w:hAnsi="仿宋" w:eastAsia="仿宋"/>
          <w:sz w:val="32"/>
          <w:szCs w:val="32"/>
        </w:rPr>
        <w:t>11亿元。</w:t>
      </w:r>
    </w:p>
    <w:p w14:paraId="0A6B559B">
      <w:pPr>
        <w:spacing w:line="560" w:lineRule="exact"/>
        <w:ind w:firstLine="640" w:firstLineChars="200"/>
        <w:rPr>
          <w:rFonts w:ascii="黑体" w:hAnsi="黑体" w:eastAsia="黑体"/>
          <w:sz w:val="32"/>
          <w:szCs w:val="32"/>
        </w:rPr>
      </w:pPr>
      <w:r>
        <w:rPr>
          <w:rFonts w:hint="eastAsia" w:ascii="黑体" w:hAnsi="黑体" w:eastAsia="黑体"/>
          <w:sz w:val="32"/>
          <w:szCs w:val="32"/>
        </w:rPr>
        <w:t>二、主要措施。</w:t>
      </w:r>
    </w:p>
    <w:p w14:paraId="60A2B1FC">
      <w:pPr>
        <w:spacing w:line="560" w:lineRule="exact"/>
        <w:ind w:firstLine="640" w:firstLineChars="200"/>
        <w:rPr>
          <w:rFonts w:ascii="仿宋" w:hAnsi="仿宋" w:eastAsia="仿宋"/>
          <w:sz w:val="32"/>
          <w:szCs w:val="32"/>
        </w:rPr>
      </w:pPr>
      <w:r>
        <w:rPr>
          <w:rFonts w:hint="eastAsia" w:ascii="仿宋" w:hAnsi="仿宋" w:eastAsia="仿宋"/>
          <w:sz w:val="32"/>
          <w:szCs w:val="32"/>
        </w:rPr>
        <w:t>一是加强组织协调。为完善各县区制定的购机补贴实施方案，市局专门组织座谈推进会，召集各县区购置补贴方案起草人和负责人集中审核交流各家实施方案，指导各县区及时编制方案。二是规范投诉核查。认真做好购置补贴信息公开栏维护，公开受益对象、资金对付、补贴资金规模等信息，并确保补贴户敏感信息不上网。三是及时下达资金。与市财政沟通协调，及时做好市辖区资金的分配下达。四是强化督查监管。组织全市农机购置补贴检查，对县区农机购置补贴工作实施开展督查，确保补贴工作规范。</w:t>
      </w:r>
    </w:p>
    <w:p w14:paraId="493A5D2D">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三、存在问题。</w:t>
      </w:r>
    </w:p>
    <w:p w14:paraId="7B64F944">
      <w:pPr>
        <w:spacing w:line="560" w:lineRule="exact"/>
        <w:ind w:firstLine="640" w:firstLineChars="200"/>
        <w:rPr>
          <w:rFonts w:ascii="仿宋" w:hAnsi="仿宋" w:eastAsia="仿宋"/>
          <w:sz w:val="32"/>
          <w:szCs w:val="32"/>
        </w:rPr>
      </w:pPr>
      <w:r>
        <w:rPr>
          <w:rFonts w:hint="eastAsia" w:ascii="仿宋" w:hAnsi="仿宋" w:eastAsia="仿宋"/>
          <w:sz w:val="32"/>
          <w:szCs w:val="32"/>
        </w:rPr>
        <w:t>由于我市农机购置补贴需求大，上级下达的资金无法满足农民购机补贴需求，导致部分购机农户无法及时领到补贴资金。202</w:t>
      </w:r>
      <w:r>
        <w:rPr>
          <w:rFonts w:ascii="仿宋" w:hAnsi="仿宋" w:eastAsia="仿宋"/>
          <w:sz w:val="32"/>
          <w:szCs w:val="32"/>
        </w:rPr>
        <w:t>4</w:t>
      </w:r>
      <w:r>
        <w:rPr>
          <w:rFonts w:hint="eastAsia" w:ascii="仿宋" w:hAnsi="仿宋" w:eastAsia="仿宋"/>
          <w:sz w:val="32"/>
          <w:szCs w:val="32"/>
        </w:rPr>
        <w:t>年度上级下达的资金现部分用于兑付202</w:t>
      </w:r>
      <w:r>
        <w:rPr>
          <w:rFonts w:ascii="仿宋" w:hAnsi="仿宋" w:eastAsia="仿宋"/>
          <w:sz w:val="32"/>
          <w:szCs w:val="32"/>
        </w:rPr>
        <w:t>3</w:t>
      </w:r>
      <w:r>
        <w:rPr>
          <w:rFonts w:hint="eastAsia" w:ascii="仿宋" w:hAnsi="仿宋" w:eastAsia="仿宋"/>
          <w:sz w:val="32"/>
          <w:szCs w:val="32"/>
        </w:rPr>
        <w:t>年度农民的资金申请，由于办理时限、审批流程、资金安排等原因，资金兑付进度较慢。</w:t>
      </w:r>
    </w:p>
    <w:p w14:paraId="60E1BDD3">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四、主要对策</w:t>
      </w:r>
    </w:p>
    <w:p w14:paraId="35AFC206">
      <w:pPr>
        <w:spacing w:line="560" w:lineRule="exact"/>
        <w:ind w:firstLine="640" w:firstLineChars="200"/>
        <w:rPr>
          <w:rFonts w:ascii="仿宋" w:hAnsi="仿宋" w:eastAsia="仿宋"/>
          <w:sz w:val="32"/>
          <w:szCs w:val="32"/>
        </w:rPr>
      </w:pPr>
      <w:r>
        <w:rPr>
          <w:rFonts w:hint="eastAsia" w:ascii="仿宋" w:hAnsi="仿宋" w:eastAsia="仿宋"/>
          <w:sz w:val="32"/>
          <w:szCs w:val="32"/>
        </w:rPr>
        <w:t>针对存在的问题，我局采取分类处理的方式。一是针对上级未下达资金导致农户无法领到补贴的，指导各县区加大宣传沟通的同时做好摸底工作，制定应急预案，明确人员分工，上报渠道，准备政策解读应对材料。及时公开资金使用情况和兑付情况，稳定农户预期。二是针对202</w:t>
      </w:r>
      <w:r>
        <w:rPr>
          <w:rFonts w:ascii="仿宋" w:hAnsi="仿宋" w:eastAsia="仿宋"/>
          <w:sz w:val="32"/>
          <w:szCs w:val="32"/>
        </w:rPr>
        <w:t>3</w:t>
      </w:r>
      <w:r>
        <w:rPr>
          <w:rFonts w:hint="eastAsia" w:ascii="仿宋" w:hAnsi="仿宋" w:eastAsia="仿宋"/>
          <w:sz w:val="32"/>
          <w:szCs w:val="32"/>
        </w:rPr>
        <w:t>年度上级已下达资金，但县区未及时兑付的，督促各县区加快办理兑付进度，稳定补贴申领预期。</w:t>
      </w:r>
    </w:p>
    <w:p w14:paraId="35F407FE">
      <w:pPr>
        <w:ind w:firstLine="640" w:firstLineChars="200"/>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JiZjA3Y2M0N2RlNzE5YzVhNzYyNjZhZWQ3NzEyMTEifQ=="/>
  </w:docVars>
  <w:rsids>
    <w:rsidRoot w:val="0018214C"/>
    <w:rsid w:val="0018214C"/>
    <w:rsid w:val="001F1CB4"/>
    <w:rsid w:val="004A57B2"/>
    <w:rsid w:val="00525F67"/>
    <w:rsid w:val="00691CAF"/>
    <w:rsid w:val="008F4007"/>
    <w:rsid w:val="00991F2D"/>
    <w:rsid w:val="00CB6B31"/>
    <w:rsid w:val="00CD0980"/>
    <w:rsid w:val="00D2287C"/>
    <w:rsid w:val="00FD22C1"/>
    <w:rsid w:val="00FE0EB6"/>
    <w:rsid w:val="21FE414F"/>
    <w:rsid w:val="24210D01"/>
    <w:rsid w:val="31524048"/>
    <w:rsid w:val="5FA25499"/>
    <w:rsid w:val="6A5E40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character" w:styleId="4">
    <w:name w:val="Emphasis"/>
    <w:qFormat/>
    <w:uiPriority w:val="20"/>
    <w:rPr>
      <w:color w:val="CC000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658</Words>
  <Characters>676</Characters>
  <Lines>4</Lines>
  <Paragraphs>1</Paragraphs>
  <TotalTime>21</TotalTime>
  <ScaleCrop>false</ScaleCrop>
  <LinksUpToDate>false</LinksUpToDate>
  <CharactersWithSpaces>685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2025-04-26T09:26:00Z</dcterms:created>
  <dc:creator>PC</dc:creator>
  <cp:lastModifiedBy>静心</cp:lastModifiedBy>
  <dcterms:modified xsi:type="dcterms:W3CDTF">2025-04-27T05:33:05Z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19422BA09166415BABE726B7086D5C85_13</vt:lpwstr>
  </property>
  <property fmtid="{D5CDD505-2E9C-101B-9397-08002B2CF9AE}" pid="4" name="KSOTemplateDocerSaveRecord">
    <vt:lpwstr>eyJoZGlkIjoiYTU4ODA3MjJhZDliMTg5ZDI5YTI4Y2UwNDFjY2FmOTQiLCJ1c2VySWQiOiI0MzY0ODYwNDEifQ==</vt:lpwstr>
  </property>
</Properties>
</file>