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kinsoku/>
        <w:wordWrap w:val="0"/>
        <w:overflowPunct/>
        <w:topLinePunct w:val="0"/>
        <w:autoSpaceDE/>
        <w:bidi w:val="0"/>
        <w:snapToGrid w:val="0"/>
        <w:spacing w:before="0" w:beforeAutospacing="0" w:after="0" w:afterAutospacing="0" w:line="560" w:lineRule="exact"/>
        <w:ind w:firstLine="640"/>
        <w:jc w:val="both"/>
        <w:textAlignment w:val="auto"/>
        <w:rPr>
          <w:rFonts w:hint="default" w:ascii="Times New Roman" w:hAnsi="Times New Roman" w:eastAsia="方正仿宋_GBK" w:cs="Times New Roman"/>
          <w:kern w:val="2"/>
          <w:sz w:val="32"/>
          <w:szCs w:val="32"/>
          <w:lang w:bidi="ar"/>
        </w:rPr>
      </w:pPr>
    </w:p>
    <w:p>
      <w:pPr>
        <w:spacing w:line="560" w:lineRule="exact"/>
        <w:jc w:val="left"/>
        <w:rPr>
          <w:rFonts w:hint="default" w:ascii="Times New Roman" w:hAnsi="Times New Roman" w:eastAsia="方正黑体_GBK" w:cs="Times New Roman"/>
          <w:lang w:bidi="ar"/>
        </w:rPr>
      </w:pPr>
      <w:r>
        <w:rPr>
          <w:rFonts w:hint="default" w:ascii="Times New Roman" w:hAnsi="Times New Roman" w:eastAsia="方正黑体_GBK" w:cs="Times New Roman"/>
          <w:lang w:bidi="ar"/>
        </w:rPr>
        <w:t>附件1</w:t>
      </w:r>
    </w:p>
    <w:p>
      <w:pPr>
        <w:pStyle w:val="6"/>
        <w:ind w:left="640"/>
        <w:rPr>
          <w:rFonts w:hint="default" w:ascii="Times New Roman" w:hAnsi="Times New Roman" w:cs="Times New Roman"/>
        </w:rPr>
      </w:pPr>
    </w:p>
    <w:p>
      <w:pPr>
        <w:spacing w:line="560" w:lineRule="exact"/>
        <w:jc w:val="center"/>
        <w:rPr>
          <w:rFonts w:hint="default" w:ascii="Times New Roman" w:hAnsi="Times New Roman" w:eastAsia="方正小标宋_GBK" w:cs="Times New Roman"/>
          <w:b w:val="0"/>
          <w:bCs w:val="0"/>
          <w:sz w:val="44"/>
          <w:szCs w:val="44"/>
        </w:rPr>
      </w:pPr>
      <w:r>
        <w:rPr>
          <w:rFonts w:hint="default" w:ascii="Times New Roman" w:hAnsi="Times New Roman" w:eastAsia="方正小标宋_GBK" w:cs="Times New Roman"/>
          <w:b w:val="0"/>
          <w:bCs w:val="0"/>
          <w:sz w:val="44"/>
          <w:szCs w:val="44"/>
        </w:rPr>
        <w:t>畜禽养殖购用兽药明白纸</w:t>
      </w:r>
    </w:p>
    <w:p>
      <w:pPr>
        <w:spacing w:line="560" w:lineRule="exact"/>
        <w:rPr>
          <w:rFonts w:hint="default" w:ascii="Times New Roman" w:hAnsi="Times New Roman" w:eastAsia="方正仿宋_GBK" w:cs="Times New Roman"/>
        </w:rPr>
      </w:pP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购买兽药路要正，识别兽药有窍门，</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进口兽药看注册，国产兽药查批文。</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正规兽药能扫码，兽药信息要核查，</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处方兽药凭方买，网购兽药需合法。</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使用兽药要规范，先把说明细来看，</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用药必须讲科学，对症下药是关键。</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禁用药物不能碰，限用兽药不乱用，</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用法用量休药期，规定牢牢记心中。</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用药记录需真实，弄虚作假最可耻，</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安全用药记在心，违规用药要禁止。</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兽药条例有法则，违法违规要追责，</w:t>
      </w:r>
    </w:p>
    <w:p>
      <w:pPr>
        <w:spacing w:line="560" w:lineRule="exact"/>
        <w:jc w:val="center"/>
        <w:rPr>
          <w:rFonts w:hint="default" w:ascii="Times New Roman" w:hAnsi="Times New Roman" w:eastAsia="方正仿宋_GBK" w:cs="Times New Roman"/>
        </w:rPr>
      </w:pPr>
      <w:r>
        <w:rPr>
          <w:rFonts w:hint="default" w:ascii="Times New Roman" w:hAnsi="Times New Roman" w:eastAsia="方正仿宋_GBK" w:cs="Times New Roman"/>
        </w:rPr>
        <w:t>熟知法律与规定，争做守法养殖者。</w:t>
      </w:r>
    </w:p>
    <w:p>
      <w:pPr>
        <w:spacing w:line="560" w:lineRule="exact"/>
        <w:jc w:val="center"/>
        <w:rPr>
          <w:rFonts w:hint="default" w:ascii="Times New Roman" w:hAnsi="Times New Roman" w:eastAsia="方正仿宋_GBK" w:cs="Times New Roman"/>
        </w:rPr>
      </w:pPr>
    </w:p>
    <w:p>
      <w:pPr>
        <w:spacing w:line="560" w:lineRule="exact"/>
        <w:jc w:val="center"/>
        <w:rPr>
          <w:rFonts w:hint="default" w:ascii="Times New Roman" w:hAnsi="Times New Roman" w:eastAsia="方正仿宋_GBK" w:cs="Times New Roman"/>
        </w:rPr>
      </w:pPr>
    </w:p>
    <w:p>
      <w:pPr>
        <w:spacing w:line="560" w:lineRule="exact"/>
        <w:jc w:val="right"/>
        <w:rPr>
          <w:rFonts w:hint="default" w:ascii="Times New Roman" w:hAnsi="Times New Roman" w:eastAsia="方正仿宋_GBK" w:cs="Times New Roman"/>
        </w:rPr>
      </w:pPr>
      <w:r>
        <w:rPr>
          <w:rFonts w:hint="default" w:ascii="Times New Roman" w:hAnsi="Times New Roman" w:eastAsia="方正楷体_GBK" w:cs="Times New Roman"/>
        </w:rPr>
        <w:t>（省动物疫病预防控制中心 高升 编）</w:t>
      </w:r>
    </w:p>
    <w:p>
      <w:pPr>
        <w:pStyle w:val="5"/>
        <w:widowControl/>
        <w:spacing w:before="0" w:beforeAutospacing="0" w:after="0" w:afterAutospacing="0" w:line="560" w:lineRule="exact"/>
        <w:jc w:val="both"/>
        <w:rPr>
          <w:rFonts w:hint="default" w:ascii="Times New Roman" w:hAnsi="Times New Roman" w:eastAsia="方正仿宋_GBK" w:cs="Times New Roman"/>
          <w:kern w:val="2"/>
          <w:sz w:val="32"/>
          <w:szCs w:val="32"/>
          <w:lang w:bidi="ar"/>
        </w:rPr>
      </w:pPr>
    </w:p>
    <w:p>
      <w:pPr>
        <w:pStyle w:val="5"/>
        <w:widowControl/>
        <w:spacing w:before="0" w:beforeAutospacing="0" w:after="0" w:afterAutospacing="0" w:line="560" w:lineRule="exact"/>
        <w:jc w:val="both"/>
        <w:rPr>
          <w:rFonts w:hint="default" w:ascii="Times New Roman" w:hAnsi="Times New Roman" w:eastAsia="方正仿宋_GBK" w:cs="Times New Roman"/>
          <w:kern w:val="2"/>
          <w:sz w:val="32"/>
          <w:szCs w:val="32"/>
          <w:lang w:bidi="ar"/>
        </w:rPr>
      </w:pPr>
    </w:p>
    <w:p>
      <w:pPr>
        <w:pStyle w:val="5"/>
        <w:widowControl/>
        <w:spacing w:before="0" w:beforeAutospacing="0" w:after="0" w:afterAutospacing="0" w:line="560" w:lineRule="exact"/>
        <w:jc w:val="both"/>
        <w:rPr>
          <w:rFonts w:hint="default" w:ascii="Times New Roman" w:hAnsi="Times New Roman" w:eastAsia="方正仿宋_GBK" w:cs="Times New Roman"/>
          <w:kern w:val="2"/>
          <w:sz w:val="32"/>
          <w:szCs w:val="32"/>
          <w:lang w:bidi="ar"/>
        </w:rPr>
      </w:pPr>
    </w:p>
    <w:p>
      <w:pPr>
        <w:pStyle w:val="5"/>
        <w:widowControl/>
        <w:spacing w:before="0" w:beforeAutospacing="0" w:after="0" w:afterAutospacing="0" w:line="560" w:lineRule="exact"/>
        <w:jc w:val="both"/>
        <w:rPr>
          <w:rFonts w:hint="default" w:ascii="Times New Roman" w:hAnsi="Times New Roman" w:eastAsia="方正黑体_GBK" w:cs="Times New Roman"/>
          <w:kern w:val="2"/>
          <w:sz w:val="32"/>
          <w:szCs w:val="32"/>
          <w:lang w:bidi="ar"/>
        </w:rPr>
      </w:pPr>
      <w:r>
        <w:rPr>
          <w:rFonts w:hint="default" w:ascii="Times New Roman" w:hAnsi="Times New Roman" w:eastAsia="方正黑体_GBK" w:cs="Times New Roman"/>
          <w:kern w:val="2"/>
          <w:sz w:val="32"/>
          <w:szCs w:val="32"/>
          <w:lang w:bidi="ar"/>
        </w:rPr>
        <w:t>附件2</w:t>
      </w:r>
    </w:p>
    <w:p>
      <w:pPr>
        <w:pStyle w:val="5"/>
        <w:widowControl/>
        <w:spacing w:before="0" w:beforeAutospacing="0" w:after="0" w:afterAutospacing="0" w:line="560" w:lineRule="exact"/>
        <w:jc w:val="both"/>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jc w:val="center"/>
        <w:rPr>
          <w:rFonts w:hint="default" w:ascii="Times New Roman" w:hAnsi="Times New Roman" w:eastAsia="方正小标宋_GBK" w:cs="Times New Roman"/>
          <w:b w:val="0"/>
          <w:bCs w:val="0"/>
          <w:kern w:val="2"/>
          <w:sz w:val="44"/>
          <w:szCs w:val="44"/>
          <w:lang w:bidi="ar"/>
        </w:rPr>
      </w:pPr>
      <w:r>
        <w:rPr>
          <w:rFonts w:hint="default" w:ascii="Times New Roman" w:hAnsi="Times New Roman" w:eastAsia="方正小标宋_GBK" w:cs="Times New Roman"/>
          <w:b w:val="0"/>
          <w:bCs w:val="0"/>
          <w:kern w:val="2"/>
          <w:sz w:val="44"/>
          <w:szCs w:val="44"/>
          <w:lang w:bidi="ar"/>
        </w:rPr>
        <w:t>蛋禽养殖规范使用兽药告知书（样稿）</w:t>
      </w:r>
    </w:p>
    <w:p>
      <w:pPr>
        <w:pStyle w:val="5"/>
        <w:widowControl/>
        <w:shd w:val="clear" w:color="auto" w:fill="FFFFFF"/>
        <w:spacing w:before="0" w:beforeAutospacing="0" w:after="0" w:afterAutospacing="0" w:line="560" w:lineRule="exact"/>
        <w:jc w:val="both"/>
        <w:rPr>
          <w:rFonts w:hint="default" w:ascii="Times New Roman" w:hAnsi="Times New Roman" w:eastAsia="方正仿宋_GBK" w:cs="Times New Roman"/>
          <w:sz w:val="32"/>
          <w:szCs w:val="32"/>
          <w:shd w:val="clear" w:color="auto" w:fill="FFFFFF"/>
        </w:rPr>
      </w:pP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shd w:val="clear" w:color="auto" w:fill="FFFFFF"/>
        </w:rPr>
        <w:t xml:space="preserve">    一、准确识别兽药</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兽药管理条例》规定，兽药是指用于预防、治疗、诊断动物疾病或者有目的地调节动物生理机能的物质（含药物饲料添加剂）。在国内生产的兽药需取得兽药批准文号，进口的兽药需取得进口兽药注册证书。凡是合法兽药全部赋有农业农村部核准的兽药二维码。</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 xml:space="preserve">    二、正确采购兽药</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应从以下渠道采购兽药：通过兽药GMP验收、取得《兽药生产许可证》国内合法生产企业；取得《进口兽药注册证书》的国内代理企业；通过兽药GSP验收、取得《兽药经营许可证》的经营企业；通过动物诊疗机构诊疗后开具处方购买兽药；通过合法的网络渠道购买兽药。兽用处方药应凭执业兽医开具的处方购买使用。</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shd w:val="clear" w:color="auto" w:fill="FFFFFF"/>
        </w:rPr>
        <w:t xml:space="preserve">    三、规范使用兽药</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兽药管理条例》第38条至第43条明确了兽药使用规定要求，各养殖场必须严格按照适应症、用法用量、休药期等兽药安全使用规定使用兽药，严格按照规定凭执业兽医师开具的处方购买、使用处方药，建立完整真实的用药记录。禁止使用假、劣兽药，禁止使用国家规定的禁用药品和其他化合物，禁止在饲料和动物饮用水中添加激素类药品，禁止将原料药直接添加到饲料及动物饮用水中或者直接饲喂动物，禁止将人用药品用于动物，禁止使用未经国家批准或已经淘汰的兽药，禁止使用不得用于蛋禽的兽药。</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shd w:val="clear" w:color="auto" w:fill="FFFFFF"/>
        </w:rPr>
        <w:t xml:space="preserve">    四、认清违法违规责任</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《兽药管理条例》第62条、63条、66条、68条及《最高人民法院、最高人民检察院关于办理危害食品安全刑事案件适用法律若干问题的解释》（法释</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shd w:val="clear" w:color="auto" w:fill="FFFFFF"/>
        </w:rPr>
        <w:t>2013</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shd w:val="clear" w:color="auto" w:fill="FFFFFF"/>
        </w:rPr>
        <w:t>12号）明确了违法使用责任。</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对未按照国家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对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对在饲料和动物饮用水中添加激素类药品和国务院兽医行政管理部门规定的其他禁用药品，依照《饲料和饲料添加剂管理条例》的有关规定处罚；直接将原料药添加到饲料及动物饮用水中，或者饲喂动</w:t>
      </w:r>
      <w:bookmarkStart w:id="0" w:name="_GoBack"/>
      <w:bookmarkEnd w:id="0"/>
      <w:r>
        <w:rPr>
          <w:rFonts w:hint="default" w:ascii="Times New Roman" w:hAnsi="Times New Roman" w:eastAsia="方正仿宋_GBK" w:cs="Times New Roman"/>
          <w:sz w:val="32"/>
          <w:szCs w:val="32"/>
          <w:shd w:val="clear" w:color="auto" w:fill="FFFFFF"/>
        </w:rPr>
        <w:t>物的，责令其立即改正，并处1万元以上3万元以下罚款；给他人造成损失的，依法承担赔偿责任。</w:t>
      </w:r>
    </w:p>
    <w:p>
      <w:pPr>
        <w:pStyle w:val="5"/>
        <w:shd w:val="clear" w:color="auto" w:fill="FFFFFF"/>
        <w:adjustRightInd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shd w:val="clear" w:color="auto" w:fill="FFFFFF"/>
        </w:rPr>
        <w:t xml:space="preserve">    对在食用农产品种植、养殖、销售、运输、贮存等过程中，使用禁用农药、兽药等禁用物质或者其他有毒、有害物质的，依照刑法第一百四十四条的规定以生产、销售有毒、有害食品罪定罪处罚。</w:t>
      </w: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黑体_GBK" w:cs="Times New Roman"/>
          <w:kern w:val="2"/>
          <w:sz w:val="32"/>
          <w:szCs w:val="32"/>
          <w:lang w:bidi="ar"/>
        </w:rPr>
      </w:pPr>
      <w:r>
        <w:rPr>
          <w:rFonts w:hint="default" w:ascii="Times New Roman" w:hAnsi="Times New Roman" w:eastAsia="方正黑体_GBK" w:cs="Times New Roman"/>
          <w:kern w:val="2"/>
          <w:sz w:val="32"/>
          <w:szCs w:val="32"/>
          <w:lang w:bidi="ar"/>
        </w:rPr>
        <w:t>附件3</w:t>
      </w: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jc w:val="center"/>
        <w:rPr>
          <w:rFonts w:hint="default" w:ascii="Times New Roman" w:hAnsi="Times New Roman" w:eastAsia="方正小标宋_GBK" w:cs="Times New Roman"/>
          <w:b w:val="0"/>
          <w:bCs w:val="0"/>
          <w:kern w:val="2"/>
          <w:sz w:val="44"/>
          <w:szCs w:val="44"/>
          <w:lang w:bidi="ar"/>
        </w:rPr>
      </w:pPr>
      <w:r>
        <w:rPr>
          <w:rFonts w:hint="default" w:ascii="Times New Roman" w:hAnsi="Times New Roman" w:eastAsia="方正小标宋_GBK" w:cs="Times New Roman"/>
          <w:b w:val="0"/>
          <w:bCs w:val="0"/>
          <w:kern w:val="2"/>
          <w:sz w:val="44"/>
          <w:szCs w:val="44"/>
          <w:lang w:bidi="ar"/>
        </w:rPr>
        <w:t>蛋禽养殖规范使用兽药承诺书（样稿）</w:t>
      </w: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为规范蛋禽养殖过程中兽药使用，提升禽蛋产品质量安全水平，</w:t>
      </w:r>
      <w:r>
        <w:rPr>
          <w:rFonts w:hint="default" w:ascii="Times New Roman" w:hAnsi="Times New Roman" w:eastAsia="方正仿宋_GBK" w:cs="Times New Roman"/>
          <w:sz w:val="32"/>
          <w:szCs w:val="32"/>
        </w:rPr>
        <w:t>维护人民群众“舌尖上的安全”，本</w:t>
      </w:r>
      <w:r>
        <w:rPr>
          <w:rFonts w:hint="default" w:ascii="Times New Roman" w:hAnsi="Times New Roman" w:eastAsia="方正仿宋_GBK" w:cs="Times New Roman"/>
          <w:kern w:val="2"/>
          <w:sz w:val="32"/>
          <w:szCs w:val="32"/>
          <w:lang w:bidi="ar"/>
        </w:rPr>
        <w:t>养殖场（企业）做出如下郑重承诺:</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一、严格遵守《农产品质量安全法》《兽药管理条例》等有关农产品质量安全和兽药使用法律法规规定。</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二、正确认识兽药的防病治病效能，不盲目用药、滥用兽药。</w:t>
      </w:r>
    </w:p>
    <w:p>
      <w:pPr>
        <w:pStyle w:val="5"/>
        <w:wordWrap w:val="0"/>
        <w:snapToGrid w:val="0"/>
        <w:spacing w:before="0" w:beforeAutospacing="0" w:after="0" w:afterAutospacing="0" w:line="560" w:lineRule="exact"/>
        <w:ind w:firstLine="640"/>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三、购买合法兽药。保证从通过兽药GMP验收、取得兽药生产许可证或通过兽药GSP验收、取得兽药经营许可证等合法渠道，购买取得兽药批准文号或进口兽药注册证书的合法兽药。</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四、正确使用兽药</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1、严格按照兽药标签和说明书载明的适用动物、适应症、用法用量等规定使用兽药。</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2、严格执行兽用处方药制度，凭执业兽医师开具的处方购买、使用处方药。</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3、严格执行休药期制度，不销售尚在用药期、休药期内的产品用于食品消费。</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4、不使用禁止使用的药品和其他化合物、停用兽药、人用药品、促生长类抗菌药物饲料添加剂、假劣兽药、原料药等。</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5、科学审慎使用兽用抗菌药，根据兽医治疗意见精准、合理选用兽用抗菌药，坚持少用药、用好药。</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6、建立完善的兽药采购、储存、使用等管理制度和记录制度。</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五、积极配合各级农业农村部门开展监督检查和质量安全监测。</w:t>
      </w:r>
    </w:p>
    <w:p>
      <w:pPr>
        <w:pStyle w:val="5"/>
        <w:wordWrap w:val="0"/>
        <w:snapToGrid w:val="0"/>
        <w:spacing w:before="0" w:beforeAutospacing="0" w:after="0" w:afterAutospacing="0" w:line="560" w:lineRule="exact"/>
        <w:jc w:val="both"/>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六、自愿承担因违反上述承诺所产生的法律责任。</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承诺单位(盖章) :</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地址:</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承诺人(签名) :</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 xml:space="preserve">                     日期：</w:t>
      </w: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sectPr>
          <w:footerReference r:id="rId3" w:type="default"/>
          <w:footerReference r:id="rId4" w:type="even"/>
          <w:pgSz w:w="11906" w:h="16838"/>
          <w:pgMar w:top="2098" w:right="1587" w:bottom="2098" w:left="1587" w:header="851" w:footer="1701" w:gutter="0"/>
          <w:cols w:space="720" w:num="1"/>
          <w:rtlGutter w:val="0"/>
          <w:docGrid w:type="lines" w:linePitch="574" w:charSpace="0"/>
        </w:sectPr>
      </w:pPr>
    </w:p>
    <w:p>
      <w:pPr>
        <w:pStyle w:val="5"/>
        <w:widowControl/>
        <w:wordWrap w:val="0"/>
        <w:snapToGrid w:val="0"/>
        <w:spacing w:before="0" w:beforeAutospacing="0" w:after="0" w:afterAutospacing="0" w:line="560" w:lineRule="exact"/>
        <w:rPr>
          <w:rFonts w:hint="default" w:ascii="Times New Roman" w:hAnsi="Times New Roman" w:eastAsia="方正黑体_GBK" w:cs="Times New Roman"/>
          <w:kern w:val="2"/>
          <w:sz w:val="32"/>
          <w:szCs w:val="32"/>
          <w:lang w:bidi="ar"/>
        </w:rPr>
      </w:pPr>
      <w:r>
        <w:rPr>
          <w:rFonts w:hint="default" w:ascii="Times New Roman" w:hAnsi="Times New Roman" w:eastAsia="方正黑体_GBK" w:cs="Times New Roman"/>
          <w:kern w:val="2"/>
          <w:sz w:val="32"/>
          <w:szCs w:val="32"/>
          <w:lang w:bidi="ar"/>
        </w:rPr>
        <w:t>附件4</w:t>
      </w:r>
    </w:p>
    <w:p>
      <w:pPr>
        <w:pStyle w:val="5"/>
        <w:widowControl/>
        <w:wordWrap w:val="0"/>
        <w:snapToGrid w:val="0"/>
        <w:spacing w:before="0" w:beforeAutospacing="0" w:after="0" w:afterAutospacing="0" w:line="560" w:lineRule="exact"/>
        <w:jc w:val="center"/>
        <w:rPr>
          <w:rFonts w:hint="default" w:ascii="Times New Roman" w:hAnsi="Times New Roman" w:eastAsia="方正仿宋_GBK" w:cs="Times New Roman"/>
          <w:b w:val="0"/>
          <w:bCs w:val="0"/>
          <w:kern w:val="2"/>
          <w:sz w:val="32"/>
          <w:szCs w:val="32"/>
          <w:lang w:bidi="ar"/>
        </w:rPr>
      </w:pPr>
      <w:r>
        <w:rPr>
          <w:rFonts w:hint="default" w:ascii="Times New Roman" w:hAnsi="Times New Roman" w:eastAsia="方正小标宋_GBK" w:cs="Times New Roman"/>
          <w:b w:val="0"/>
          <w:bCs w:val="0"/>
          <w:sz w:val="44"/>
          <w:szCs w:val="44"/>
        </w:rPr>
        <w:t>禽蛋产品质量安全提升行动情况统计表</w:t>
      </w:r>
    </w:p>
    <w:p>
      <w:pPr>
        <w:pStyle w:val="5"/>
        <w:widowControl/>
        <w:wordWrap w:val="0"/>
        <w:snapToGrid w:val="0"/>
        <w:spacing w:before="0" w:beforeAutospacing="0" w:after="0" w:afterAutospacing="0" w:line="560" w:lineRule="exact"/>
        <w:rPr>
          <w:rFonts w:hint="default" w:ascii="Times New Roman" w:hAnsi="Times New Roman" w:eastAsia="方正仿宋_GBK" w:cs="Times New Roman"/>
          <w:kern w:val="2"/>
          <w:sz w:val="32"/>
          <w:szCs w:val="32"/>
          <w:lang w:bidi="ar"/>
        </w:rPr>
      </w:pPr>
      <w:r>
        <w:rPr>
          <w:rFonts w:hint="default" w:ascii="Times New Roman" w:hAnsi="Times New Roman" w:eastAsia="方正仿宋_GBK" w:cs="Times New Roman"/>
          <w:kern w:val="2"/>
          <w:sz w:val="32"/>
          <w:szCs w:val="32"/>
          <w:lang w:bidi="ar"/>
        </w:rPr>
        <w:t>填报单位：</w:t>
      </w:r>
      <w:r>
        <w:rPr>
          <w:rFonts w:hint="default" w:ascii="Times New Roman" w:hAnsi="Times New Roman" w:eastAsia="方正仿宋_GBK" w:cs="Times New Roman"/>
          <w:kern w:val="2"/>
          <w:sz w:val="32"/>
          <w:szCs w:val="32"/>
          <w:u w:val="single"/>
          <w:lang w:bidi="ar"/>
        </w:rPr>
        <w:t xml:space="preserve">       </w:t>
      </w:r>
      <w:r>
        <w:rPr>
          <w:rFonts w:hint="default" w:ascii="Times New Roman" w:hAnsi="Times New Roman" w:eastAsia="方正仿宋_GBK" w:cs="Times New Roman"/>
          <w:kern w:val="2"/>
          <w:sz w:val="32"/>
          <w:szCs w:val="32"/>
          <w:lang w:bidi="ar"/>
        </w:rPr>
        <w:t>市                                     填报时间：</w:t>
      </w:r>
    </w:p>
    <w:tbl>
      <w:tblPr>
        <w:tblStyle w:val="7"/>
        <w:tblW w:w="128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730"/>
        <w:gridCol w:w="900"/>
        <w:gridCol w:w="735"/>
        <w:gridCol w:w="765"/>
        <w:gridCol w:w="810"/>
        <w:gridCol w:w="855"/>
        <w:gridCol w:w="735"/>
        <w:gridCol w:w="957"/>
        <w:gridCol w:w="957"/>
        <w:gridCol w:w="957"/>
        <w:gridCol w:w="957"/>
        <w:gridCol w:w="957"/>
        <w:gridCol w:w="844"/>
        <w:gridCol w:w="8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7"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禽蛋</w:t>
            </w:r>
          </w:p>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品种</w:t>
            </w:r>
          </w:p>
        </w:tc>
        <w:tc>
          <w:tcPr>
            <w:tcW w:w="730"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建立监管网格个数</w:t>
            </w:r>
          </w:p>
        </w:tc>
        <w:tc>
          <w:tcPr>
            <w:tcW w:w="900"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开展主题宣传活动（场次）</w:t>
            </w:r>
          </w:p>
        </w:tc>
        <w:tc>
          <w:tcPr>
            <w:tcW w:w="735"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开展培训（场次</w:t>
            </w:r>
          </w:p>
        </w:tc>
        <w:tc>
          <w:tcPr>
            <w:tcW w:w="765"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媒体宣传（次）</w:t>
            </w:r>
          </w:p>
        </w:tc>
        <w:tc>
          <w:tcPr>
            <w:tcW w:w="810"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发放宣传材料（份）</w:t>
            </w:r>
          </w:p>
        </w:tc>
        <w:tc>
          <w:tcPr>
            <w:tcW w:w="855"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签订承诺书（份）</w:t>
            </w:r>
          </w:p>
        </w:tc>
        <w:tc>
          <w:tcPr>
            <w:tcW w:w="735"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开展技术指导（人次）</w:t>
            </w:r>
          </w:p>
        </w:tc>
        <w:tc>
          <w:tcPr>
            <w:tcW w:w="2871" w:type="dxa"/>
            <w:gridSpan w:val="3"/>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开展监督检查</w:t>
            </w:r>
          </w:p>
        </w:tc>
        <w:tc>
          <w:tcPr>
            <w:tcW w:w="1914" w:type="dxa"/>
            <w:gridSpan w:val="2"/>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r>
              <w:rPr>
                <w:rFonts w:hint="default" w:ascii="Times New Roman" w:hAnsi="Times New Roman" w:eastAsia="方正仿宋_GBK" w:cs="Times New Roman"/>
                <w:kern w:val="2"/>
                <w:sz w:val="21"/>
                <w:szCs w:val="21"/>
                <w:lang w:bidi="ar"/>
              </w:rPr>
              <w:t>开展监测情况</w:t>
            </w:r>
          </w:p>
        </w:tc>
        <w:tc>
          <w:tcPr>
            <w:tcW w:w="844"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行政执法案件（个）</w:t>
            </w:r>
          </w:p>
        </w:tc>
        <w:tc>
          <w:tcPr>
            <w:tcW w:w="838" w:type="dxa"/>
            <w:vMerge w:val="restart"/>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移送司法案件（个）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出动监管执法人员（人次）</w:t>
            </w:r>
          </w:p>
        </w:tc>
        <w:tc>
          <w:tcPr>
            <w:tcW w:w="95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检查生产经营主体（家次）</w:t>
            </w:r>
          </w:p>
        </w:tc>
        <w:tc>
          <w:tcPr>
            <w:tcW w:w="95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发现质量安全问题（个）</w:t>
            </w:r>
          </w:p>
        </w:tc>
        <w:tc>
          <w:tcPr>
            <w:tcW w:w="95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r>
              <w:rPr>
                <w:rFonts w:hint="default" w:ascii="Times New Roman" w:hAnsi="Times New Roman" w:eastAsia="方正仿宋_GBK" w:cs="Times New Roman"/>
                <w:kern w:val="2"/>
                <w:sz w:val="21"/>
                <w:szCs w:val="21"/>
                <w:lang w:bidi="ar"/>
              </w:rPr>
              <w:t>样品数（批次）</w:t>
            </w:r>
          </w:p>
        </w:tc>
        <w:tc>
          <w:tcPr>
            <w:tcW w:w="95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r>
              <w:rPr>
                <w:rFonts w:hint="default" w:ascii="Times New Roman" w:hAnsi="Times New Roman" w:eastAsia="方正仿宋_GBK" w:cs="Times New Roman"/>
                <w:kern w:val="2"/>
                <w:sz w:val="21"/>
                <w:szCs w:val="21"/>
                <w:lang w:bidi="ar"/>
              </w:rPr>
              <w:t>不合格数（批次)</w:t>
            </w:r>
          </w:p>
        </w:tc>
        <w:tc>
          <w:tcPr>
            <w:tcW w:w="844"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鸡蛋</w:t>
            </w:r>
          </w:p>
        </w:tc>
        <w:tc>
          <w:tcPr>
            <w:tcW w:w="730"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restart"/>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鸭蛋</w:t>
            </w: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鹅蛋</w:t>
            </w: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鸽蛋</w:t>
            </w: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鹌鹑蛋</w:t>
            </w: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trPr>
        <w:tc>
          <w:tcPr>
            <w:tcW w:w="877" w:type="dxa"/>
            <w:noWrap w:val="0"/>
            <w:vAlign w:val="center"/>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r>
              <w:rPr>
                <w:rFonts w:hint="default" w:ascii="Times New Roman" w:hAnsi="Times New Roman" w:eastAsia="方正仿宋_GBK" w:cs="Times New Roman"/>
                <w:kern w:val="2"/>
                <w:sz w:val="21"/>
                <w:szCs w:val="21"/>
                <w:lang w:bidi="ar"/>
              </w:rPr>
              <w:t>其它禽蛋</w:t>
            </w:r>
          </w:p>
        </w:tc>
        <w:tc>
          <w:tcPr>
            <w:tcW w:w="73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0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6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10"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5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735"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vMerge w:val="continue"/>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957"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cs="Times New Roman"/>
                <w:sz w:val="21"/>
                <w:szCs w:val="21"/>
              </w:rPr>
            </w:pPr>
          </w:p>
        </w:tc>
        <w:tc>
          <w:tcPr>
            <w:tcW w:w="844"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c>
          <w:tcPr>
            <w:tcW w:w="838" w:type="dxa"/>
            <w:noWrap w:val="0"/>
            <w:vAlign w:val="top"/>
          </w:tcPr>
          <w:p>
            <w:pPr>
              <w:pStyle w:val="5"/>
              <w:widowControl/>
              <w:wordWrap w:val="0"/>
              <w:snapToGrid w:val="0"/>
              <w:spacing w:before="0" w:beforeAutospacing="0" w:after="0" w:afterAutospacing="0" w:line="240" w:lineRule="atLeast"/>
              <w:jc w:val="center"/>
              <w:rPr>
                <w:rFonts w:hint="default" w:ascii="Times New Roman" w:hAnsi="Times New Roman" w:eastAsia="方正仿宋_GBK" w:cs="Times New Roman"/>
                <w:kern w:val="2"/>
                <w:sz w:val="21"/>
                <w:szCs w:val="21"/>
                <w:lang w:bidi="ar"/>
              </w:rPr>
            </w:pPr>
          </w:p>
        </w:tc>
      </w:tr>
    </w:tbl>
    <w:p>
      <w:pPr>
        <w:pStyle w:val="5"/>
        <w:widowControl/>
        <w:wordWrap w:val="0"/>
        <w:snapToGrid w:val="0"/>
        <w:spacing w:before="0" w:beforeAutospacing="0" w:after="0" w:afterAutospacing="0" w:line="560" w:lineRule="exact"/>
        <w:ind w:firstLine="640"/>
        <w:rPr>
          <w:rFonts w:hint="default" w:ascii="Times New Roman" w:hAnsi="Times New Roman" w:eastAsia="方正仿宋_GBK" w:cs="Times New Roman"/>
          <w:kern w:val="2"/>
          <w:sz w:val="32"/>
          <w:szCs w:val="32"/>
          <w:lang w:bidi="ar"/>
        </w:rPr>
      </w:pPr>
    </w:p>
    <w:p>
      <w:pPr>
        <w:keepNext w:val="0"/>
        <w:keepLines w:val="0"/>
        <w:pageBreakBefore w:val="0"/>
        <w:widowControl w:val="0"/>
        <w:kinsoku/>
        <w:wordWrap/>
        <w:overflowPunct/>
        <w:topLinePunct w:val="0"/>
        <w:autoSpaceDE/>
        <w:autoSpaceDN/>
        <w:bidi w:val="0"/>
        <w:adjustRightInd/>
        <w:snapToGrid/>
        <w:spacing w:line="560" w:lineRule="exact"/>
        <w:ind w:left="0" w:right="0"/>
        <w:jc w:val="left"/>
        <w:textAlignment w:val="auto"/>
        <w:rPr>
          <w:rFonts w:hint="default" w:ascii="Times New Roman" w:hAnsi="Times New Roman" w:eastAsia="方正仿宋_GBK" w:cs="Times New Roman"/>
          <w:color w:val="auto"/>
          <w:kern w:val="0"/>
          <w:sz w:val="32"/>
          <w:szCs w:val="32"/>
          <w:lang w:val="en-US" w:eastAsia="zh-CN" w:bidi="ar-SA"/>
        </w:rPr>
        <w:sectPr>
          <w:headerReference r:id="rId7" w:type="first"/>
          <w:footerReference r:id="rId10" w:type="first"/>
          <w:headerReference r:id="rId5" w:type="default"/>
          <w:footerReference r:id="rId8" w:type="default"/>
          <w:headerReference r:id="rId6" w:type="even"/>
          <w:footerReference r:id="rId9" w:type="even"/>
          <w:pgSz w:w="16838" w:h="11906" w:orient="landscape"/>
          <w:pgMar w:top="1587" w:right="2098" w:bottom="1587" w:left="2098" w:header="851" w:footer="1701" w:gutter="0"/>
          <w:pgNumType w:fmt="decimal"/>
          <w:cols w:space="720" w:num="1"/>
          <w:rtlGutter w:val="0"/>
          <w:docGrid w:type="lines" w:linePitch="582" w:charSpace="0"/>
        </w:sectPr>
      </w:pPr>
    </w:p>
    <w:p>
      <w:pPr>
        <w:keepNext w:val="0"/>
        <w:keepLines w:val="0"/>
        <w:pageBreakBefore w:val="0"/>
        <w:widowControl w:val="0"/>
        <w:kinsoku/>
        <w:wordWrap/>
        <w:overflowPunct/>
        <w:topLinePunct w:val="0"/>
        <w:autoSpaceDE/>
        <w:autoSpaceDN/>
        <w:bidi w:val="0"/>
        <w:adjustRightInd/>
        <w:snapToGrid/>
        <w:spacing w:line="560" w:lineRule="exact"/>
        <w:ind w:left="0" w:right="0"/>
        <w:jc w:val="left"/>
        <w:textAlignment w:val="auto"/>
        <w:rPr>
          <w:rFonts w:hint="default" w:ascii="Times New Roman" w:hAnsi="Times New Roman" w:eastAsia="方正仿宋_GBK" w:cs="Times New Roman"/>
          <w:color w:val="auto"/>
          <w:kern w:val="0"/>
          <w:sz w:val="32"/>
          <w:szCs w:val="32"/>
          <w:lang w:val="en-US" w:eastAsia="zh-CN" w:bidi="ar-SA"/>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r>
        <w:rPr>
          <w:rFonts w:hint="default" w:ascii="Times New Roman" w:hAnsi="Times New Roman" w:eastAsia="方正仿宋_GBK" w:cs="Times New Roman"/>
          <w:color w:val="auto"/>
          <w:kern w:val="0"/>
          <w:sz w:val="32"/>
          <w:szCs w:val="32"/>
          <w:lang w:val="en-US" w:eastAsia="zh-CN" w:bidi="ar-SA"/>
        </w:rPr>
        <w:t xml:space="preserve">        </w:t>
      </w: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keepNext w:val="0"/>
        <w:keepLines w:val="0"/>
        <w:pageBreakBefore w:val="0"/>
        <w:kinsoku/>
        <w:wordWrap/>
        <w:overflowPunct/>
        <w:topLinePunct w:val="0"/>
        <w:autoSpaceDE/>
        <w:bidi w:val="0"/>
        <w:adjustRightInd/>
        <w:spacing w:line="560" w:lineRule="exact"/>
        <w:ind w:firstLine="634"/>
        <w:textAlignment w:val="auto"/>
        <w:rPr>
          <w:rFonts w:hint="default" w:ascii="Times New Roman" w:hAnsi="Times New Roman" w:cs="Times New Roman"/>
        </w:rPr>
      </w:pPr>
    </w:p>
    <w:p>
      <w:pPr>
        <w:widowControl/>
        <w:ind w:firstLine="280" w:firstLineChars="100"/>
        <w:jc w:val="left"/>
      </w:pPr>
      <w:r>
        <w:rPr>
          <w:rFonts w:hint="default" w:ascii="Times New Roman" w:hAnsi="Times New Roman" w:cs="Times New Roman"/>
          <w:sz w:val="28"/>
          <w:szCs w:val="28"/>
        </w:rPr>
        <mc:AlternateContent>
          <mc:Choice Requires="wps">
            <w:drawing>
              <wp:anchor distT="0" distB="0" distL="114300" distR="114300" simplePos="0" relativeHeight="251658240" behindDoc="0" locked="0" layoutInCell="1" allowOverlap="1">
                <wp:simplePos x="0" y="0"/>
                <wp:positionH relativeFrom="column">
                  <wp:posOffset>19050</wp:posOffset>
                </wp:positionH>
                <wp:positionV relativeFrom="paragraph">
                  <wp:posOffset>34290</wp:posOffset>
                </wp:positionV>
                <wp:extent cx="5534025" cy="0"/>
                <wp:effectExtent l="0" t="0" r="0" b="0"/>
                <wp:wrapNone/>
                <wp:docPr id="3" name="直接连接符 3"/>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5pt;margin-top:2.7pt;height:0pt;width:435.75pt;z-index:251658240;mso-width-relative:page;mso-height-relative:page;" filled="f" stroked="t" coordsize="21600,21600" o:gfxdata="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E6GjkrVAAAABQEAAA8AAAAAAAAA&#10;AQAgAAAAIgAAAGRycy9kb3ducmV2LnhtbFBLAQIUABQAAAAIAIdO4kBJqNQ72wEAAJcDAAAOAAAA&#10;AAAAAAEAIAAAACQBAABkcnMvZTJvRG9jLnhtbFBLBQYAAAAABgAGAFkBAABxBQAAAAA=&#10;">
                <v:path arrowok="t"/>
                <v:fill on="f" focussize="0,0"/>
                <v:stroke weight="1pt"/>
                <v:imagedata o:title=""/>
                <o:lock v:ext="edit" aspectratio="f"/>
              </v:line>
            </w:pict>
          </mc:Fallback>
        </mc:AlternateContent>
      </w:r>
      <w:r>
        <w:rPr>
          <w:rFonts w:hint="default" w:ascii="Times New Roman" w:hAnsi="Times New Roman" w:eastAsia="方正仿宋_GBK" w:cs="Times New Roman"/>
          <w:b/>
          <w:sz w:val="28"/>
          <w:szCs w:val="28"/>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322580</wp:posOffset>
                </wp:positionV>
                <wp:extent cx="5534025" cy="0"/>
                <wp:effectExtent l="0" t="0" r="0" b="0"/>
                <wp:wrapNone/>
                <wp:docPr id="5" name="直接连接符 5"/>
                <wp:cNvGraphicFramePr/>
                <a:graphic xmlns:a="http://schemas.openxmlformats.org/drawingml/2006/main">
                  <a:graphicData uri="http://schemas.microsoft.com/office/word/2010/wordprocessingShape">
                    <wps:wsp>
                      <wps:cNvSpPr/>
                      <wps:spPr>
                        <a:xfrm>
                          <a:off x="0" y="0"/>
                          <a:ext cx="5534025"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75pt;margin-top:25.4pt;height:0pt;width:435.75pt;z-index:251659264;mso-width-relative:page;mso-height-relative:page;" filled="f" stroked="t" coordsize="21600,21600" o:gfxdata="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q7OoJ9UAAAAHAQAADwAAAAAAAAAB&#10;ACAAAAAiAAAAZHJzL2Rvd25yZXYueG1sUEsBAhQAFAAAAAgAh07iQF41ap7aAQAAlwMAAA4AAAAA&#10;AAAAAQAgAAAAJAEAAGRycy9lMm9Eb2MueG1sUEsFBgAAAAAGAAYAWQEAAHAFAAAAAA==&#10;">
                <v:path arrowok="t"/>
                <v:fill on="f" focussize="0,0"/>
                <v:stroke weight="1pt"/>
                <v:imagedata o:title=""/>
                <o:lock v:ext="edit" aspectratio="f"/>
              </v:line>
            </w:pict>
          </mc:Fallback>
        </mc:AlternateContent>
      </w:r>
      <w:r>
        <w:rPr>
          <w:rFonts w:hint="default" w:ascii="Times New Roman" w:hAnsi="Times New Roman" w:eastAsia="方正仿宋_GBK" w:cs="Times New Roman"/>
          <w:sz w:val="28"/>
          <w:szCs w:val="28"/>
        </w:rPr>
        <w:t xml:space="preserve">江苏省农业农村厅办公室       </w:t>
      </w:r>
      <w:r>
        <w:rPr>
          <w:rFonts w:hint="default"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 xml:space="preserve"> 202</w:t>
      </w:r>
      <w:r>
        <w:rPr>
          <w:rFonts w:hint="default" w:ascii="Times New Roman" w:hAnsi="Times New Roman" w:eastAsia="方正仿宋_GBK" w:cs="Times New Roman"/>
          <w:sz w:val="28"/>
          <w:szCs w:val="28"/>
          <w:lang w:val="en-US" w:eastAsia="zh-CN"/>
        </w:rPr>
        <w:t>1</w:t>
      </w:r>
      <w:r>
        <w:rPr>
          <w:rFonts w:hint="default" w:ascii="Times New Roman" w:hAnsi="Times New Roman" w:eastAsia="方正仿宋_GBK" w:cs="Times New Roman"/>
          <w:sz w:val="28"/>
          <w:szCs w:val="28"/>
        </w:rPr>
        <w:t>年</w:t>
      </w:r>
      <w:r>
        <w:rPr>
          <w:rFonts w:hint="default" w:ascii="Times New Roman" w:hAnsi="Times New Roman" w:eastAsia="方正仿宋_GBK" w:cs="Times New Roman"/>
          <w:sz w:val="28"/>
          <w:szCs w:val="28"/>
          <w:lang w:val="en"/>
        </w:rPr>
        <w:t>12</w:t>
      </w:r>
      <w:r>
        <w:rPr>
          <w:rFonts w:hint="default" w:ascii="Times New Roman" w:hAnsi="Times New Roman" w:eastAsia="方正仿宋_GBK" w:cs="Times New Roman"/>
          <w:sz w:val="28"/>
          <w:szCs w:val="28"/>
        </w:rPr>
        <w:t>月</w:t>
      </w:r>
      <w:r>
        <w:rPr>
          <w:rFonts w:hint="default" w:ascii="Times New Roman" w:hAnsi="Times New Roman" w:eastAsia="方正仿宋_GBK" w:cs="Times New Roman"/>
          <w:sz w:val="28"/>
          <w:szCs w:val="28"/>
          <w:lang w:val="en"/>
        </w:rPr>
        <w:t>24</w:t>
      </w:r>
      <w:r>
        <w:rPr>
          <w:rFonts w:hint="default" w:ascii="Times New Roman" w:hAnsi="Times New Roman" w:eastAsia="方正仿宋_GBK" w:cs="Times New Roman"/>
          <w:sz w:val="28"/>
          <w:szCs w:val="28"/>
        </w:rPr>
        <w:t>日印发</w:t>
      </w:r>
    </w:p>
    <w:sectPr>
      <w:footerReference r:id="rId11" w:type="default"/>
      <w:footerReference r:id="rId12" w:type="even"/>
      <w:pgSz w:w="11906" w:h="16838"/>
      <w:pgMar w:top="2098" w:right="1587" w:bottom="2098" w:left="1587" w:header="851" w:footer="1701" w:gutter="0"/>
      <w:pgNumType w:fmt="decimal"/>
      <w:cols w:space="720" w:num="1"/>
      <w:rtlGutter w:val="0"/>
      <w:docGrid w:type="lines" w:linePitch="57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360" w:firstLine="360"/>
      <w:jc w:val="right"/>
      <w:rPr>
        <w:rFonts w:hint="eastAsia"/>
        <w:sz w:val="28"/>
        <w:szCs w:val="28"/>
      </w:rPr>
    </w:pPr>
    <w:r>
      <w:rPr>
        <w:rStyle w:val="10"/>
        <w:rFonts w:hint="eastAsia"/>
        <w:sz w:val="28"/>
        <w:szCs w:val="28"/>
      </w:rPr>
      <w:t xml:space="preserve">— </w:t>
    </w:r>
    <w:r>
      <w:rPr>
        <w:sz w:val="28"/>
        <w:szCs w:val="28"/>
      </w:rPr>
      <w:fldChar w:fldCharType="begin"/>
    </w:r>
    <w:r>
      <w:rPr>
        <w:rStyle w:val="10"/>
        <w:sz w:val="28"/>
        <w:szCs w:val="28"/>
      </w:rPr>
      <w:instrText xml:space="preserve"> PAGE </w:instrText>
    </w:r>
    <w:r>
      <w:rPr>
        <w:sz w:val="28"/>
        <w:szCs w:val="28"/>
      </w:rPr>
      <w:fldChar w:fldCharType="separate"/>
    </w:r>
    <w:r>
      <w:rPr>
        <w:rStyle w:val="10"/>
        <w:sz w:val="28"/>
        <w:szCs w:val="28"/>
      </w:rPr>
      <w:t>13</w:t>
    </w:r>
    <w:r>
      <w:rPr>
        <w:sz w:val="28"/>
        <w:szCs w:val="28"/>
      </w:rPr>
      <w:fldChar w:fldCharType="end"/>
    </w:r>
    <w:r>
      <w:rPr>
        <w:rStyle w:val="10"/>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9" w:firstLineChars="128"/>
      <w:rPr>
        <w:rFonts w:hint="eastAsia"/>
        <w:sz w:val="28"/>
        <w:szCs w:val="28"/>
      </w:rPr>
    </w:pPr>
    <w:r>
      <w:rPr>
        <w:rStyle w:val="10"/>
        <w:rFonts w:hint="eastAsia"/>
        <w:sz w:val="28"/>
        <w:szCs w:val="28"/>
      </w:rPr>
      <w:t xml:space="preserve">— </w:t>
    </w:r>
    <w:r>
      <w:rPr>
        <w:sz w:val="28"/>
        <w:szCs w:val="28"/>
      </w:rPr>
      <w:fldChar w:fldCharType="begin"/>
    </w:r>
    <w:r>
      <w:rPr>
        <w:rStyle w:val="10"/>
        <w:sz w:val="28"/>
        <w:szCs w:val="28"/>
      </w:rPr>
      <w:instrText xml:space="preserve"> PAGE </w:instrText>
    </w:r>
    <w:r>
      <w:rPr>
        <w:sz w:val="28"/>
        <w:szCs w:val="28"/>
      </w:rPr>
      <w:fldChar w:fldCharType="separate"/>
    </w:r>
    <w:r>
      <w:rPr>
        <w:rStyle w:val="10"/>
        <w:sz w:val="28"/>
        <w:szCs w:val="28"/>
      </w:rPr>
      <w:t>12</w:t>
    </w:r>
    <w:r>
      <w:rPr>
        <w:sz w:val="28"/>
        <w:szCs w:val="28"/>
      </w:rPr>
      <w:fldChar w:fldCharType="end"/>
    </w:r>
    <w:r>
      <w:rPr>
        <w:rStyle w:val="10"/>
        <w:rFonts w:hint="eastAsia"/>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429" w:rightChars="134"/>
      <w:jc w:val="right"/>
      <w:rPr>
        <w:rFonts w:hint="eastAsia"/>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7366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736600" cy="1828800"/>
                      </a:xfrm>
                      <a:prstGeom prst="rect">
                        <a:avLst/>
                      </a:prstGeom>
                      <a:noFill/>
                      <a:ln>
                        <a:noFill/>
                      </a:ln>
                    </wps:spPr>
                    <wps:txbx>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lIns="0" tIns="0" rIns="0" bIns="0" upright="0">
                      <a:spAutoFit/>
                    </wps:bodyPr>
                  </wps:wsp>
                </a:graphicData>
              </a:graphic>
            </wp:anchor>
          </w:drawing>
        </mc:Choice>
        <mc:Fallback>
          <w:pict>
            <v:shape id="_x0000_s1026" o:spid="_x0000_s1026" o:spt="202" type="#_x0000_t202" style="position:absolute;left:0pt;margin-top:0pt;height:144pt;width:58pt;mso-position-horizontal:outside;mso-position-horizontal-relative:margin;z-index:251658240;mso-width-relative:page;mso-height-relative:page;" filled="f" stroked="f" coordsize="21600,21600" o:gfxdata="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IBgnZ0gAAAAUBAAAPAAAA&#10;AAAAAAEAIAAAACIAAABkcnMvZG93bnJldi54bWxQSwECFAAUAAAACACHTuJAwiihI6kBAAA+AwAA&#10;DgAAAAAAAAABACAAAAAhAQAAZHJzL2Uyb0RvYy54bWxQSwUGAAAAAAYABgBZAQAAPAUAAAAA&#10;">
              <v:path/>
              <v:fill on="f" focussize="0,0"/>
              <v:stroke on="f"/>
              <v:imagedata o:title=""/>
              <o:lock v:ext="edit" aspectratio="f"/>
              <v:textbox inset="0mm,0mm,0mm,0mm" style="mso-fit-shape-to-text:t;">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13" w:firstLineChars="112"/>
      <w:rPr>
        <w:rFonts w:hint="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ind w:firstLine="280" w:firstLine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hzD29rgEAAEsD&#10;AAAOAAAAAAAAAAEAIAAAAB4BAABkcnMvZTJvRG9jLnhtbFBLBQYAAAAABgAGAFkBAAA+BQAAAAA=&#10;">
              <v:path/>
              <v:fill on="f" focussize="0,0"/>
              <v:stroke on="f"/>
              <v:imagedata o:title=""/>
              <o:lock v:ext="edit" aspectratio="f"/>
              <v:textbox inset="0mm,0mm,0mm,0mm" style="mso-fit-shape-to-text:t;">
                <w:txbxContent>
                  <w:p>
                    <w:pPr>
                      <w:pStyle w:val="3"/>
                      <w:ind w:firstLine="280" w:firstLineChars="10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Calibri" w:hAnsi="Calibri" w:eastAsia="Calibri" w:cs="Calibri"/>
        <w:b/>
        <w:color w:val="FFFFFF"/>
        <w:sz w:val="2"/>
        <w:lang w:bidi="ar-SA"/>
      </w:rPr>
    </w:pPr>
    <w:r>
      <w:rPr>
        <w:sz w:val="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7366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36600" cy="1828800"/>
                      </a:xfrm>
                      <a:prstGeom prst="rect">
                        <a:avLst/>
                      </a:prstGeom>
                      <a:noFill/>
                      <a:ln>
                        <a:noFill/>
                      </a:ln>
                    </wps:spPr>
                    <wps:txbx>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lIns="0" tIns="0" rIns="0" bIns="0" upright="0">
                      <a:spAutoFit/>
                    </wps:bodyPr>
                  </wps:wsp>
                </a:graphicData>
              </a:graphic>
            </wp:anchor>
          </w:drawing>
        </mc:Choice>
        <mc:Fallback>
          <w:pict>
            <v:shape id="_x0000_s1026" o:spid="_x0000_s1026" o:spt="202" type="#_x0000_t202" style="position:absolute;left:0pt;margin-top:0pt;height:144pt;width:58pt;mso-position-horizontal:outside;mso-position-horizontal-relative:margin;z-index:251659264;mso-width-relative:page;mso-height-relative:page;" filled="f" stroked="f" coordsize="21600,21600" o:gfxdata="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IBgnZ0gAAAAUBAAAPAAAA&#10;AAAAAAEAIAAAACIAAABkcnMvZG93bnJldi54bWxQSwECFAAUAAAACACHTuJAqbsy8akBAAA+AwAA&#10;DgAAAAAAAAABACAAAAAhAQAAZHJzL2Uyb0RvYy54bWxQSwUGAAAAAAYABgBZAQAAPAUAAAAA&#10;">
              <v:path/>
              <v:fill on="f" focussize="0,0"/>
              <v:stroke on="f"/>
              <v:imagedata o:title=""/>
              <o:lock v:ext="edit" aspectratio="f"/>
              <v:textbox inset="0mm,0mm,0mm,0mm" style="mso-fit-shape-to-text:t;">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r>
      <w:rPr>
        <w:rFonts w:ascii="Calibri" w:hAnsi="Calibri" w:eastAsia="Calibri" w:cs="Calibri"/>
        <w:b/>
        <w:color w:val="FFF7FF"/>
        <w:spacing w:val="-20"/>
        <w:w w:val="33"/>
        <w:sz w:val="2"/>
        <w:lang w:bidi="ar-SA"/>
      </w:rPr>
      <w:t>德国教育家第斯多惠说：“教学的艺术不在于传授本领，而在于激励、唤醒、鼓舞。”当学生沉浸于“我能学好”的喜悦中时，必然会产生更强烈的主动求知的心理冲动</w:t>
    </w:r>
    <w:r>
      <w:rPr>
        <w:rFonts w:ascii="Calibri" w:hAnsi="Calibri" w:eastAsia="Calibri" w:cs="Calibri"/>
        <w:b/>
        <w:color w:val="FFFFFF"/>
        <w:sz w:val="2"/>
        <w:lang w:bidi="ar-SA"/>
      </w:rPr>
      <w:t>plenary session, each session of the Central Committee of national institutions and personnel problems have been arranged, you can concentrate on national development and reforms.  　　Previous plenary session is often branded with a central leading collective, often by looking at the third plenum of the initiative to found the current central leadership collective governance characteristics.  　　From the analysis of the process of economic reform in China, plenary session, 12 session, 14, 16 plenary session have programmatic meaning, respectively, marking the four stages of China's economic reform, and that the start-up phase of reform, reform, construction phase and perfecting the Socialist market economy framework stage of socialist market economy.  　　Previous plenary session topics proposed to the third plenary session of "taking class struggle as the key link," shifted to socialist modernization;  　　12 session marked the change from rural to urban, established with public ownership as the Foundation of a planned commodity economy;  　　13 session at a time when both the old and the new system change, governance and rectify the economic order; 14 ... Fair and efficient and authoritative Socialist judicial system, safeguard the people's interests.  　　Legal authority to uphold the Constitution, deepening the reform of administrative law enforcement, ensure that the right to exercise judicial power independently and impartially according to law the prosecution, perfecting the running mechanism of judicial power, improve the system of judicial protection of human rights. Plenary session, Affairs the right to adhere to the system, and let the people authority to let the power run in the Sun, is shut up in a cage of the system power policy. Decision Science, implementation should be constructed strong, supervise the running of powerful system, improve the system of punishing and preventing corruption, promoting political integrity, and strive to achieve cadres ' honest and Government integrity, clean politics.  　　To form a scientific and effective coordination of power restriction and mechanisms to strengthen anti-corruption institutional innovation and institutional protection, sound improvement style normal system. Plenary session, building a socialist culture in China, enhancing national cultural soft power, must adhere to the orientation of advanced Socialist culture, adhere to the development of Socialist culture with Chinese characteristics, adhere to the people-centred work-oriented, further deepening reform of culture.  　　To improve the cultural management system, establish and improve the modern market system and building modern public cultural service system, improve the level of culture opening. Plenary session, achieving development results more equitable benefit of all people, we must speed up reform of social programs and solve the issues of concern to the people the most direct and real interest, and better meet the needs of the people.  　　To deepen education reform, improve institutional mechanisms for the</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360" w:firstLine="360"/>
      <w:rPr>
        <w:rFonts w:hint="eastAsia"/>
        <w:sz w:val="28"/>
        <w:szCs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8" w:firstLineChars="128"/>
      <w:rPr>
        <w:rFonts w:hint="eastAsia"/>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ascii="Calibri" w:hAnsi="Calibri" w:eastAsia="Calibri" w:cs="Calibri"/>
        <w:b/>
        <w:color w:val="FFFFFF"/>
        <w:sz w:val="2"/>
        <w:lang w:bidi="ar-SA"/>
      </w:rPr>
    </w:pPr>
    <w:r>
      <w:rPr>
        <w:rFonts w:ascii="Calibri" w:hAnsi="Calibri" w:eastAsia="Calibri" w:cs="Calibri"/>
        <w:b/>
        <w:color w:val="FFFFFF"/>
        <w:sz w:val="2"/>
        <w:lang w:bidi="ar-SA"/>
      </w:rPr>
      <w:t xml:space="preserve">rapid development of the market economy environment to explore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rPr>
        <w:rFonts w:ascii="Calibri" w:hAnsi="Calibri" w:eastAsia="Calibri" w:cs="Calibri"/>
        <w:b/>
        <w:color w:val="FFFFFF"/>
        <w:sz w:val="2"/>
        <w:lang w:bidi="ar-SA"/>
      </w:rPr>
    </w:pPr>
    <w:r>
      <w:rPr>
        <w:rFonts w:ascii="Calibri" w:hAnsi="Calibri" w:eastAsia="Calibri" w:cs="Calibri"/>
        <w:b/>
        <w:color w:val="FFFFFF"/>
        <w:sz w:val="2"/>
        <w:lang w:bidi="ar-SA"/>
      </w:rPr>
      <w:t>rapid development of the market economy environment to explore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rPr>
        <w:rFonts w:ascii="Calibri" w:hAnsi="Calibri" w:eastAsia="Calibri" w:cs="Calibri"/>
        <w:b/>
        <w:color w:val="FFFFFF"/>
        <w:sz w:val="2"/>
        <w:lang w:bidi="ar-SA"/>
      </w:rPr>
    </w:pPr>
    <w:r>
      <w:rPr>
        <w:rFonts w:ascii="Calibri" w:hAnsi="Calibri" w:eastAsia="Calibri" w:cs="Calibri"/>
        <w:b/>
        <w:color w:val="FFFFFF"/>
        <w:sz w:val="2"/>
        <w:lang w:bidi="ar-SA"/>
      </w:rPr>
      <w:t>rapid development of the market economy environment to exp</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7D4A65"/>
    <w:rsid w:val="7A7D4A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8">
    <w:name w:val="Default Paragraph Font"/>
    <w:link w:val="9"/>
    <w:semiHidden/>
    <w:uiPriority w:val="0"/>
    <w:rPr>
      <w:rFonts w:ascii="Arial" w:hAnsi="Arial" w:eastAsia="Times New Roman" w:cs="Verdana"/>
      <w:b/>
      <w:kern w:val="0"/>
      <w:sz w:val="24"/>
      <w:szCs w:val="20"/>
      <w:lang w:eastAsia="en-US"/>
    </w:rPr>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Body Text Indent"/>
    <w:basedOn w:val="1"/>
    <w:uiPriority w:val="0"/>
    <w:pPr>
      <w:spacing w:after="120"/>
      <w:ind w:left="420" w:leftChars="200"/>
    </w:p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spacing w:before="100" w:beforeAutospacing="1" w:after="100" w:afterAutospacing="1"/>
      <w:jc w:val="left"/>
    </w:pPr>
    <w:rPr>
      <w:rFonts w:ascii="Calibri" w:hAnsi="Calibri" w:eastAsia="宋体"/>
      <w:kern w:val="0"/>
      <w:sz w:val="24"/>
      <w:szCs w:val="24"/>
    </w:rPr>
  </w:style>
  <w:style w:type="paragraph" w:styleId="6">
    <w:name w:val="Body Text First Indent 2"/>
    <w:basedOn w:val="2"/>
    <w:uiPriority w:val="0"/>
    <w:pPr>
      <w:ind w:firstLine="420" w:firstLineChars="200"/>
    </w:pPr>
    <w:rPr>
      <w:rFonts w:eastAsia="宋体"/>
      <w:sz w:val="21"/>
      <w:szCs w:val="24"/>
    </w:rPr>
  </w:style>
  <w:style w:type="paragraph" w:customStyle="1" w:styleId="9">
    <w:name w:val="Char"/>
    <w:basedOn w:val="1"/>
    <w:link w:val="8"/>
    <w:uiPriority w:val="0"/>
    <w:pPr>
      <w:widowControl/>
      <w:spacing w:after="160" w:line="240" w:lineRule="exact"/>
      <w:jc w:val="left"/>
    </w:pPr>
    <w:rPr>
      <w:rFonts w:ascii="Arial" w:hAnsi="Arial" w:eastAsia="Times New Roman" w:cs="Verdana"/>
      <w:b/>
      <w:kern w:val="0"/>
      <w:sz w:val="24"/>
      <w:szCs w:val="20"/>
      <w:lang w:eastAsia="en-US"/>
    </w:rPr>
  </w:style>
  <w:style w:type="character" w:styleId="10">
    <w:name w:val="page number"/>
    <w:basedOn w:val="8"/>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2022-02-15T08:11:00Z</dcterms:created>
  <dc:creator>汪澄</dc:creator>
  <cp:lastModifiedBy>汪澄</cp:lastModifiedBy>
  <dcterms:modified xsi:type="dcterms:W3CDTF">2022-02-15T08:13:36Z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