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黑体" w:hAnsi="黑体" w:eastAsia="黑体" w:cs="黑体"/>
          <w:color w:val="auto"/>
          <w:sz w:val="44"/>
          <w:szCs w:val="44"/>
        </w:rPr>
      </w:pPr>
      <w:r>
        <w:rPr>
          <w:rFonts w:hint="eastAsia" w:ascii="黑体" w:hAnsi="黑体" w:eastAsia="黑体" w:cs="黑体"/>
          <w:color w:val="auto"/>
          <w:sz w:val="44"/>
          <w:szCs w:val="44"/>
          <w:lang w:eastAsia="zh-CN"/>
        </w:rPr>
        <w:t>骆马湖</w:t>
      </w: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禁渔</w:t>
      </w:r>
      <w:r>
        <w:rPr>
          <w:rFonts w:hint="eastAsia" w:ascii="黑体" w:hAnsi="黑体" w:eastAsia="黑体" w:cs="黑体"/>
          <w:color w:val="auto"/>
          <w:sz w:val="44"/>
          <w:szCs w:val="44"/>
        </w:rPr>
        <w:t>管理规定</w:t>
      </w:r>
    </w:p>
    <w:p>
      <w:pPr>
        <w:spacing w:line="560" w:lineRule="exact"/>
        <w:jc w:val="center"/>
        <w:rPr>
          <w:rFonts w:ascii="Times New Roman" w:hAnsi="Times New Roman" w:eastAsia="楷体" w:cs="Times New Roman"/>
          <w:color w:val="auto"/>
          <w:sz w:val="32"/>
          <w:szCs w:val="32"/>
        </w:rPr>
      </w:pPr>
      <w:r>
        <w:rPr>
          <w:rFonts w:ascii="Times New Roman" w:hAnsi="楷体" w:eastAsia="楷体" w:cs="Times New Roman"/>
          <w:color w:val="auto"/>
          <w:sz w:val="32"/>
          <w:szCs w:val="32"/>
        </w:rPr>
        <w:t>（征求意见稿）</w:t>
      </w:r>
    </w:p>
    <w:p>
      <w:pPr>
        <w:spacing w:line="560" w:lineRule="exact"/>
        <w:rPr>
          <w:rFonts w:ascii="Times New Roman" w:hAnsi="Times New Roman" w:eastAsia="仿宋" w:cs="Times New Roman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第一条（立法目的）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为了加强湖区渔业资源保护和管理，维护水生生物的多样性，保障湖区生态安全，促进渔业可持续发展，根据《中华人民共和国渔业法》《中华人民共和国野生动物保护法》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《江苏省渔业管理条例》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等有关法律法规，制定本规定。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 xml:space="preserve">第二条（适用范围） 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在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湖从事渔业生产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以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及相关活动的单位和个人，应当遵守本规定。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0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本规定所称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湖，包括骆马湖及与其相连的湖荡、湖湾、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河道、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湿地。沿岸以防洪大堤为界，伸入陆地的河道有水闸的以闸为界，无水闸的以河口两岸连线向外延伸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500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米为界。其中：中运河、黄墩湖以睢宁船闸与窑湾渡口连线为界，沂河以毛林大桥为界。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第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>三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条（职责分工）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江苏省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湖渔业管理委员会办公室负责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湖渔业管理工作；沿湖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设区的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市、县（市、区）渔业行政主管部门按照各自职责，协同做好相关工作。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第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>四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条（禁渔制度）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湖实行禁渔区、禁渔期制度。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骆马湖国家级水产种质资源保护区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和骆马湖青虾国家级水产种质资源保护区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为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常年禁渔区，全面禁止生产性捕捞和垂钓。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</w:pP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骆马湖国家级水产种质资源保护区位于骆马湖三场附近水域，总面积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3160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公顷，保护区由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个拐点顺次连线围成的水域，拐点坐标为：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118°13′09"E，34°08′40"N；118°13′56"E，34°06′15"N；118°09′17"E ，34°05′56"N；118°08′54"E，34°08′14"N。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骆马湖青虾国家级水产种质资源保护区位于骆马湖安家洼附近水域，总面积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1740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公顷，保护区由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4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个拐点顺次连线围成的水域，拐点坐标为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：118°13′16"E，34°02′44"N；118°12′25"E，34°00′21"N；118°10′04"E，34°01′14"N；118°10′53"E，34°03′27"N。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除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国家级水产种质资源保护区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以外的其他水域，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禁渔期为每年的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日0时起至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日24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时止。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第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>五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条（禁用渔具渔法）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 xml:space="preserve"> 禁止炸鱼、毒鱼、电鱼。禁止使用禁用渔具、禁用渔法进行捕捞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（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禁用渔具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详见附录）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Nimbus Roman" w:hAnsi="Nimbus Roman" w:eastAsia="仿宋" w:cs="Nimbus Roman"/>
          <w:b/>
          <w:bCs w:val="0"/>
          <w:color w:val="auto"/>
          <w:sz w:val="32"/>
          <w:szCs w:val="32"/>
          <w:lang w:val="en-US" w:eastAsia="zh-CN"/>
        </w:rPr>
        <w:t>第六条（养殖管理）</w:t>
      </w:r>
      <w:r>
        <w:rPr>
          <w:rFonts w:hint="default" w:ascii="Nimbus Roman" w:hAnsi="Nimbus Roman" w:eastAsia="仿宋" w:cs="Nimbus Roman"/>
          <w:b w:val="0"/>
          <w:bCs/>
          <w:color w:val="auto"/>
          <w:sz w:val="32"/>
          <w:szCs w:val="32"/>
          <w:lang w:val="en-US" w:eastAsia="zh-CN"/>
        </w:rPr>
        <w:t xml:space="preserve"> 从事网围、网箱养殖生产，不得使用含有毒、有害物质饵料、饲料和违禁药物，及时合理处置被污染或者含病原体的水体和病死养殖生物。限制投喂冰鲜鱼；禁止在网围内电力清塘和药物清塘。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left"/>
        <w:textAlignment w:val="auto"/>
        <w:rPr>
          <w:rStyle w:val="20"/>
          <w:rFonts w:hint="default" w:ascii="Nimbus Roman" w:hAnsi="Nimbus Roman" w:eastAsia="仿宋_GB2312" w:cs="Nimbus Roman"/>
          <w:sz w:val="32"/>
          <w:szCs w:val="32"/>
        </w:rPr>
      </w:pPr>
      <w:r>
        <w:rPr>
          <w:rFonts w:hint="default" w:ascii="Nimbus Roman" w:hAnsi="Nimbus Roman" w:eastAsia="仿宋" w:cs="Nimbus Roman"/>
          <w:b/>
          <w:bCs w:val="0"/>
          <w:color w:val="auto"/>
          <w:sz w:val="32"/>
          <w:szCs w:val="32"/>
          <w:lang w:val="en-US" w:eastAsia="zh-CN"/>
        </w:rPr>
        <w:t xml:space="preserve">第七条（捕捞管理） </w:t>
      </w:r>
      <w:r>
        <w:rPr>
          <w:rStyle w:val="20"/>
          <w:rFonts w:hint="default" w:ascii="Nimbus Roman" w:hAnsi="Nimbus Roman" w:eastAsia="仿宋_GB2312" w:cs="Nimbus Roman"/>
          <w:sz w:val="32"/>
          <w:szCs w:val="32"/>
        </w:rPr>
        <w:t>因教学、科研</w:t>
      </w:r>
      <w:r>
        <w:rPr>
          <w:rStyle w:val="20"/>
          <w:rFonts w:hint="default" w:ascii="Nimbus Roman" w:hAnsi="Nimbus Roman" w:eastAsia="仿宋_GB2312" w:cs="Nimbus Roman"/>
          <w:sz w:val="32"/>
          <w:szCs w:val="32"/>
          <w:lang w:eastAsia="zh-CN"/>
        </w:rPr>
        <w:t>、监测</w:t>
      </w:r>
      <w:r>
        <w:rPr>
          <w:rStyle w:val="20"/>
          <w:rFonts w:hint="default" w:ascii="Nimbus Roman" w:hAnsi="Nimbus Roman" w:eastAsia="仿宋_GB2312" w:cs="Nimbus Roman"/>
          <w:sz w:val="32"/>
          <w:szCs w:val="32"/>
        </w:rPr>
        <w:t>等特殊需要捕捞渔业资源的，应当严格按照《中华人民共和国渔业法》《江苏省渔业管理条例》《渔业捕捞许可管理规定》以及农业农村部的有关要求申报专项（特许）捕捞许可证。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 xml:space="preserve">第八条（生物安全） 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任何单位和个人未经批准，不得擅自引进、释放或者丢弃外来物种。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left"/>
        <w:textAlignment w:val="auto"/>
        <w:rPr>
          <w:rFonts w:hint="eastAsia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>第九条（损害赔偿）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进行水下爆破、勘探、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施工作业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的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，对渔业资源有严重影响的，作业单位应当事先同江苏省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骆马湖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渔业管理委员会办公室协商，采取措施，防止或者减少对渔业资源的损害</w:t>
      </w:r>
      <w:r>
        <w:rPr>
          <w:rFonts w:hint="eastAsia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default" w:ascii="Nimbus Roman" w:hAnsi="Nimbus Roman" w:eastAsia="楷体" w:cs="Nimbus Roman"/>
          <w:color w:val="auto"/>
          <w:sz w:val="32"/>
          <w:szCs w:val="32"/>
          <w:lang w:val="en-US" w:eastAsia="zh-CN"/>
        </w:rPr>
      </w:pP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因水工建设、疏航、勘探、兴建锚地、爆破、排污、倾废等行为对渔业资源造成损失的，应当予以赔偿；对渔业生态环境造成损害的，应当采取补救措施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，并</w:t>
      </w:r>
      <w:r>
        <w:rPr>
          <w:rFonts w:hint="default" w:ascii="Nimbus Roman" w:hAnsi="Nimbus Roman" w:eastAsia="仿宋" w:cs="Nimbus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依法予以补偿，对依法从事渔业生产的单位或者个人造成损失的，应当承担赔偿责任。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rPr>
          <w:rStyle w:val="20"/>
          <w:rFonts w:hint="default" w:ascii="Nimbus Roman" w:hAnsi="Nimbus Roman" w:eastAsia="仿宋_GB2312" w:cs="Nimbus Roman"/>
          <w:sz w:val="32"/>
          <w:szCs w:val="32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第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>十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条（处罚措施）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 xml:space="preserve"> 对违反渔业法律法规和本规定的单位和个人，按照有关法律、法规，视情节轻重分别给予警告、罚款、没收渔具、没收渔船、吊销渔业许可证等处罚；对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拒绝、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阻碍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渔业行政执法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人员依法执行公务、抗拒管理、扰乱湖区治安等严重违法行为，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移送公安机关依法处理，</w:t>
      </w:r>
      <w:r>
        <w:rPr>
          <w:rStyle w:val="20"/>
          <w:rFonts w:hint="default" w:ascii="Nimbus Roman" w:hAnsi="Nimbus Roman" w:eastAsia="仿宋_GB2312" w:cs="Nimbus Roman"/>
          <w:sz w:val="32"/>
          <w:szCs w:val="32"/>
        </w:rPr>
        <w:t>涉嫌犯罪的，移送司法机关</w:t>
      </w:r>
      <w:r>
        <w:rPr>
          <w:rStyle w:val="20"/>
          <w:rFonts w:hint="default" w:ascii="Nimbus Roman" w:hAnsi="Nimbus Roman" w:eastAsia="仿宋_GB2312" w:cs="Nimbus Roman"/>
          <w:sz w:val="32"/>
          <w:szCs w:val="32"/>
          <w:lang w:val="en-US" w:eastAsia="zh-CN"/>
        </w:rPr>
        <w:t>依法</w:t>
      </w:r>
      <w:r>
        <w:rPr>
          <w:rStyle w:val="20"/>
          <w:rFonts w:hint="default" w:ascii="Nimbus Roman" w:hAnsi="Nimbus Roman" w:eastAsia="仿宋_GB2312" w:cs="Nimbus Roman"/>
          <w:sz w:val="32"/>
          <w:szCs w:val="32"/>
        </w:rPr>
        <w:t>追究刑事责任。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</w:rPr>
      </w:pP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第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>十一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>条（实施时间）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Nimbus Roman" w:hAnsi="Nimbus Roman" w:eastAsia="仿宋" w:cs="Nimbus Roman"/>
          <w:b/>
          <w:color w:val="auto"/>
          <w:sz w:val="32"/>
          <w:szCs w:val="32"/>
        </w:rPr>
        <w:t xml:space="preserve"> 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本规定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eastAsia="zh-CN"/>
        </w:rPr>
        <w:t>自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*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*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*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日起施行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到*年*月*日失效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。原《江苏省</w:t>
      </w:r>
      <w:r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  <w:t>骆马湖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封湖禁渔通告》（苏海规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〔201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〕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号</w:t>
      </w:r>
      <w:r>
        <w:rPr>
          <w:rFonts w:hint="default" w:ascii="Nimbus Roman" w:hAnsi="Nimbus Roman" w:eastAsia="仿宋" w:cs="Nimbus Roman"/>
          <w:color w:val="auto"/>
          <w:sz w:val="32"/>
          <w:szCs w:val="32"/>
        </w:rPr>
        <w:t>）同时废止。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default" w:ascii="Nimbus Roman" w:hAnsi="Nimbus Roman" w:cs="Nimbus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  <w:r>
        <w:rPr>
          <w:rFonts w:hint="default" w:ascii="Nimbus Roman" w:hAnsi="Nimbus Roman" w:eastAsia="方正仿宋_GBK" w:cs="Nimbus Roman"/>
          <w:sz w:val="32"/>
          <w:szCs w:val="32"/>
        </w:rPr>
        <w:t>附录：《</w:t>
      </w:r>
      <w:r>
        <w:rPr>
          <w:rFonts w:hint="default" w:ascii="Nimbus Roman" w:hAnsi="Nimbus Roman" w:eastAsia="方正仿宋_GBK" w:cs="Nimbus Roman"/>
          <w:sz w:val="32"/>
          <w:szCs w:val="32"/>
          <w:lang w:eastAsia="zh-CN"/>
        </w:rPr>
        <w:t>骆马</w:t>
      </w:r>
      <w:r>
        <w:rPr>
          <w:rFonts w:hint="default" w:ascii="Nimbus Roman" w:hAnsi="Nimbus Roman" w:eastAsia="方正仿宋_GBK" w:cs="Nimbus Roman"/>
          <w:sz w:val="32"/>
          <w:szCs w:val="32"/>
        </w:rPr>
        <w:t>湖禁用渔具名录》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jc w:val="left"/>
        <w:textAlignment w:val="auto"/>
        <w:rPr>
          <w:rFonts w:hint="default" w:ascii="Nimbus Roman" w:hAnsi="Nimbus Roman" w:eastAsia="方正仿宋_GBK" w:cs="Nimbus Roman"/>
          <w:sz w:val="32"/>
          <w:szCs w:val="32"/>
        </w:rPr>
      </w:pPr>
    </w:p>
    <w:p>
      <w:pPr>
        <w:jc w:val="center"/>
        <w:rPr>
          <w:rFonts w:hint="eastAsia" w:ascii="Times New Roman" w:hAnsi="Times New Roman" w:eastAsia="方正小标宋简体"/>
          <w:sz w:val="44"/>
          <w:szCs w:val="44"/>
          <w:lang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华文中宋" w:hAnsi="华文中宋" w:eastAsia="华文中宋" w:cs="华文中宋"/>
          <w:sz w:val="36"/>
          <w:szCs w:val="36"/>
          <w:lang w:eastAsia="zh-CN"/>
        </w:rPr>
        <w:t>骆马</w:t>
      </w:r>
      <w:r>
        <w:rPr>
          <w:rFonts w:hint="eastAsia" w:ascii="华文中宋" w:hAnsi="华文中宋" w:eastAsia="华文中宋" w:cs="华文中宋"/>
          <w:sz w:val="36"/>
          <w:szCs w:val="36"/>
        </w:rPr>
        <w:t>湖禁用渔具名录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270"/>
        <w:gridCol w:w="680"/>
        <w:gridCol w:w="3339"/>
        <w:gridCol w:w="5628"/>
        <w:gridCol w:w="2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1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bCs/>
                <w:sz w:val="24"/>
                <w:szCs w:val="24"/>
              </w:rPr>
              <w:t>序号</w:t>
            </w:r>
          </w:p>
        </w:tc>
        <w:tc>
          <w:tcPr>
            <w:tcW w:w="12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1" w:line="300" w:lineRule="exact"/>
              <w:jc w:val="center"/>
              <w:textAlignment w:val="auto"/>
              <w:rPr>
                <w:rFonts w:ascii="Times New Roman" w:hAnsi="Times New Roman" w:eastAsia="黑体"/>
                <w:bCs/>
                <w:sz w:val="24"/>
                <w:szCs w:val="24"/>
              </w:rPr>
            </w:pPr>
            <w:r>
              <w:rPr>
                <w:rFonts w:ascii="Times New Roman" w:hAnsi="Times New Roman" w:eastAsia="黑体"/>
                <w:bCs/>
                <w:sz w:val="24"/>
                <w:szCs w:val="24"/>
              </w:rPr>
              <w:t>渔具类别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1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bCs/>
                <w:sz w:val="24"/>
                <w:szCs w:val="24"/>
              </w:rPr>
              <w:t>序号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1" w:line="300" w:lineRule="exact"/>
              <w:jc w:val="center"/>
              <w:textAlignment w:val="auto"/>
              <w:rPr>
                <w:rFonts w:ascii="Times New Roman" w:hAnsi="Times New Roman" w:eastAsia="黑体"/>
                <w:bCs/>
                <w:sz w:val="24"/>
                <w:szCs w:val="24"/>
              </w:rPr>
            </w:pPr>
            <w:r>
              <w:rPr>
                <w:rFonts w:ascii="Times New Roman" w:hAnsi="Times New Roman" w:eastAsia="黑体"/>
                <w:bCs/>
                <w:sz w:val="24"/>
                <w:szCs w:val="24"/>
              </w:rPr>
              <w:t>渔具名称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1" w:line="300" w:lineRule="exact"/>
              <w:jc w:val="center"/>
              <w:textAlignment w:val="auto"/>
              <w:rPr>
                <w:rFonts w:ascii="Times New Roman" w:hAnsi="Times New Roman" w:eastAsia="黑体"/>
                <w:bCs/>
                <w:sz w:val="24"/>
                <w:szCs w:val="24"/>
              </w:rPr>
            </w:pPr>
            <w:r>
              <w:rPr>
                <w:rFonts w:ascii="Times New Roman" w:hAnsi="Times New Roman" w:eastAsia="黑体"/>
                <w:bCs/>
                <w:sz w:val="24"/>
                <w:szCs w:val="24"/>
              </w:rPr>
              <w:t>结构说明和作业方式(型和式)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91" w:line="300" w:lineRule="exact"/>
              <w:jc w:val="center"/>
              <w:textAlignment w:val="auto"/>
              <w:rPr>
                <w:rFonts w:ascii="Times New Roman" w:hAnsi="Times New Roman" w:eastAsia="黑体"/>
                <w:bCs/>
                <w:sz w:val="24"/>
                <w:szCs w:val="24"/>
              </w:rPr>
            </w:pPr>
            <w:r>
              <w:rPr>
                <w:rFonts w:ascii="Times New Roman" w:hAnsi="Times New Roman" w:eastAsia="黑体"/>
                <w:bCs/>
                <w:sz w:val="24"/>
                <w:szCs w:val="24"/>
              </w:rPr>
              <w:t>危害性说明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1</w:t>
            </w:r>
          </w:p>
        </w:tc>
        <w:tc>
          <w:tcPr>
            <w:tcW w:w="127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刺网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1</w:t>
            </w:r>
          </w:p>
        </w:tc>
        <w:tc>
          <w:tcPr>
            <w:tcW w:w="3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单片刺网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4"/>
                <w:sz w:val="24"/>
                <w:szCs w:val="24"/>
              </w:rPr>
              <w:t>（网目内径尺寸小于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4"/>
                <w:sz w:val="24"/>
                <w:szCs w:val="24"/>
              </w:rPr>
              <w:t>30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mm</w:t>
            </w:r>
            <w:r>
              <w:rPr>
                <w:rFonts w:ascii="Nimbus Roman" w:hAnsi="Nimbus Roman" w:cs="Nimbus Roman"/>
                <w:color w:val="000000"/>
                <w:spacing w:val="4"/>
                <w:sz w:val="24"/>
                <w:szCs w:val="24"/>
              </w:rPr>
              <w:t>）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1" w:line="300" w:lineRule="exact"/>
              <w:ind w:left="144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z w:val="24"/>
                <w:szCs w:val="24"/>
              </w:rPr>
              <w:t>主体由单片网衣和上、下纲构成</w:t>
            </w:r>
          </w:p>
        </w:tc>
        <w:tc>
          <w:tcPr>
            <w:tcW w:w="258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  <w:r>
              <w:rPr>
                <w:rFonts w:hint="default" w:ascii="Nimbus Roman" w:hAnsi="Nimbus Roman" w:cs="Nimbus Roman"/>
                <w:color w:val="000000"/>
                <w:spacing w:val="5"/>
                <w:sz w:val="24"/>
                <w:szCs w:val="24"/>
              </w:rPr>
              <w:t>捕捞强度大，对渔业资源破坏严</w:t>
            </w:r>
            <w:bookmarkStart w:id="0" w:name="_GoBack"/>
            <w:bookmarkEnd w:id="0"/>
            <w:r>
              <w:rPr>
                <w:rFonts w:hint="default" w:ascii="Nimbus Roman" w:hAnsi="Nimbus Roman" w:cs="Nimbus Roman"/>
                <w:color w:val="000000"/>
                <w:spacing w:val="5"/>
                <w:sz w:val="24"/>
                <w:szCs w:val="24"/>
              </w:rPr>
              <w:t>重。 阻挡鱼类洄游，影响河道通航。渔具丢弃、抛弃和遗失的数量多，容易造成</w:t>
            </w:r>
            <w:r>
              <w:rPr>
                <w:rFonts w:hint="eastAsia" w:ascii="Nimbus Roman" w:hAnsi="Nimbus Roman" w:cs="Nimbus Roman"/>
                <w:color w:val="000000"/>
                <w:spacing w:val="5"/>
                <w:sz w:val="24"/>
                <w:szCs w:val="24"/>
                <w:lang w:eastAsia="zh-CN"/>
              </w:rPr>
              <w:t>“</w:t>
            </w:r>
            <w:r>
              <w:rPr>
                <w:rFonts w:hint="default" w:ascii="Nimbus Roman" w:hAnsi="Nimbus Roman" w:cs="Nimbus Roman"/>
                <w:color w:val="000000"/>
                <w:spacing w:val="5"/>
                <w:sz w:val="24"/>
                <w:szCs w:val="24"/>
              </w:rPr>
              <w:t>幽灵</w:t>
            </w:r>
            <w:r>
              <w:rPr>
                <w:rFonts w:hint="eastAsia" w:ascii="Nimbus Roman" w:hAnsi="Nimbus Roman" w:cs="Nimbus Roman"/>
                <w:color w:val="000000"/>
                <w:spacing w:val="5"/>
                <w:sz w:val="24"/>
                <w:szCs w:val="24"/>
                <w:lang w:eastAsia="zh-CN"/>
              </w:rPr>
              <w:t>”</w:t>
            </w:r>
            <w:r>
              <w:rPr>
                <w:rFonts w:hint="default" w:ascii="Nimbus Roman" w:hAnsi="Nimbus Roman" w:cs="Nimbus Roman"/>
                <w:color w:val="000000"/>
                <w:spacing w:val="5"/>
                <w:sz w:val="24"/>
                <w:szCs w:val="24"/>
              </w:rPr>
              <w:t>捕捞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6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12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2</w:t>
            </w:r>
          </w:p>
        </w:tc>
        <w:tc>
          <w:tcPr>
            <w:tcW w:w="3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双重刺网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9" w:line="300" w:lineRule="exact"/>
              <w:ind w:left="144" w:right="92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6"/>
                <w:sz w:val="24"/>
                <w:szCs w:val="24"/>
              </w:rPr>
              <w:t>由两片网目尺寸不同的重合网衣和</w:t>
            </w: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上、下纲构成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12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3</w:t>
            </w:r>
          </w:p>
        </w:tc>
        <w:tc>
          <w:tcPr>
            <w:tcW w:w="3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3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3"/>
                <w:sz w:val="24"/>
                <w:szCs w:val="24"/>
              </w:rPr>
              <w:t>三重及以上刺网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3" w:line="300" w:lineRule="exact"/>
              <w:ind w:left="144" w:right="89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6"/>
                <w:sz w:val="24"/>
                <w:szCs w:val="24"/>
              </w:rPr>
              <w:t>由两片大网目网衣中间夹一片或多</w:t>
            </w:r>
            <w:r>
              <w:rPr>
                <w:rFonts w:ascii="Nimbus Roman" w:hAnsi="Nimbus Roman" w:cs="Nimbus Roman"/>
                <w:color w:val="000000"/>
                <w:sz w:val="24"/>
                <w:szCs w:val="24"/>
              </w:rPr>
              <w:t>片小网目网衣和上、下纲构成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12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4</w:t>
            </w:r>
          </w:p>
        </w:tc>
        <w:tc>
          <w:tcPr>
            <w:tcW w:w="3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框格刺网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2"/>
                <w:sz w:val="24"/>
                <w:szCs w:val="24"/>
              </w:rPr>
              <w:t>（网目内径尺寸小于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2"/>
                <w:sz w:val="24"/>
                <w:szCs w:val="24"/>
              </w:rPr>
              <w:t>30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mm</w:t>
            </w:r>
            <w:r>
              <w:rPr>
                <w:rFonts w:ascii="Nimbus Roman" w:hAnsi="Nimbus Roman" w:cs="Nimbus Roman"/>
                <w:color w:val="000000"/>
                <w:spacing w:val="2"/>
                <w:sz w:val="24"/>
                <w:szCs w:val="24"/>
              </w:rPr>
              <w:t>）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4" w:line="300" w:lineRule="exact"/>
              <w:ind w:left="144" w:right="92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6"/>
                <w:sz w:val="24"/>
                <w:szCs w:val="24"/>
              </w:rPr>
              <w:t>由被细绳分隔成若干框架的网衣和</w:t>
            </w: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上、下纲构成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12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5</w:t>
            </w:r>
          </w:p>
        </w:tc>
        <w:tc>
          <w:tcPr>
            <w:tcW w:w="3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6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4"/>
                <w:sz w:val="24"/>
                <w:szCs w:val="24"/>
              </w:rPr>
              <w:t>无下纲刺网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3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2"/>
                <w:sz w:val="24"/>
                <w:szCs w:val="24"/>
              </w:rPr>
              <w:t>（网目内径尺寸小于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2"/>
                <w:sz w:val="24"/>
                <w:szCs w:val="24"/>
              </w:rPr>
              <w:t>30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mm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2"/>
                <w:sz w:val="24"/>
                <w:szCs w:val="24"/>
              </w:rPr>
              <w:t>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line="300" w:lineRule="exact"/>
              <w:ind w:left="144"/>
              <w:jc w:val="center"/>
              <w:textAlignment w:val="auto"/>
              <w:rPr>
                <w:rFonts w:ascii="Nimbus Roman" w:hAnsi="Nimbus Roman" w:cs="Nimbus Roman"/>
                <w:color w:val="000000"/>
                <w:sz w:val="23"/>
                <w:szCs w:val="23"/>
              </w:rPr>
            </w:pPr>
            <w:r>
              <w:rPr>
                <w:rFonts w:ascii="Nimbus Roman" w:hAnsi="Nimbus Roman" w:cs="Nimbus Roman"/>
                <w:color w:val="000000"/>
                <w:spacing w:val="7"/>
                <w:sz w:val="23"/>
                <w:szCs w:val="23"/>
              </w:rPr>
              <w:t>下缘部装纲索，由单片网衣和上纲构</w:t>
            </w:r>
            <w:r>
              <w:rPr>
                <w:rFonts w:ascii="Nimbus Roman" w:hAnsi="Nimbus Roman" w:cs="Nimbus Roman"/>
                <w:color w:val="000000"/>
                <w:sz w:val="23"/>
                <w:szCs w:val="23"/>
              </w:rPr>
              <w:t>成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12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6</w:t>
            </w:r>
          </w:p>
        </w:tc>
        <w:tc>
          <w:tcPr>
            <w:tcW w:w="333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7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混合刺网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3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2"/>
                <w:sz w:val="24"/>
                <w:szCs w:val="24"/>
              </w:rPr>
              <w:t>（网目内径尺寸小于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2"/>
                <w:sz w:val="24"/>
                <w:szCs w:val="24"/>
              </w:rPr>
              <w:t>30mm)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7" w:line="300" w:lineRule="exact"/>
              <w:ind w:left="144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z w:val="24"/>
                <w:szCs w:val="24"/>
              </w:rPr>
              <w:t>具有两种</w:t>
            </w:r>
            <w:r>
              <w:rPr>
                <w:rFonts w:hint="eastAsia" w:ascii="Nimbus Roman" w:hAnsi="Nimbus Roman" w:cs="Nimbus Roman"/>
                <w:color w:val="000000"/>
                <w:sz w:val="24"/>
                <w:szCs w:val="24"/>
                <w:lang w:eastAsia="zh-CN"/>
              </w:rPr>
              <w:t>“</w:t>
            </w:r>
            <w:r>
              <w:rPr>
                <w:rFonts w:ascii="Nimbus Roman" w:hAnsi="Nimbus Roman" w:cs="Nimbus Roman"/>
                <w:color w:val="000000"/>
                <w:sz w:val="24"/>
                <w:szCs w:val="24"/>
              </w:rPr>
              <w:t>型</w:t>
            </w:r>
            <w:r>
              <w:rPr>
                <w:rFonts w:hint="eastAsia" w:ascii="Nimbus Roman" w:hAnsi="Nimbus Roman" w:cs="Nimbus Roman"/>
                <w:color w:val="000000"/>
                <w:sz w:val="24"/>
                <w:szCs w:val="24"/>
                <w:lang w:eastAsia="zh-CN"/>
              </w:rPr>
              <w:t>”</w:t>
            </w:r>
            <w:r>
              <w:rPr>
                <w:rFonts w:ascii="Nimbus Roman" w:hAnsi="Nimbus Roman" w:cs="Nimbus Roman"/>
                <w:color w:val="000000"/>
                <w:sz w:val="24"/>
                <w:szCs w:val="24"/>
              </w:rPr>
              <w:t>以上性质的渔具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27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拖网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单船拖网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4"/>
                <w:sz w:val="24"/>
                <w:szCs w:val="24"/>
              </w:rPr>
              <w:t>（网目内径尺寸小于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4"/>
                <w:sz w:val="24"/>
                <w:szCs w:val="24"/>
              </w:rPr>
              <w:t>30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mm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4"/>
                <w:sz w:val="24"/>
                <w:szCs w:val="24"/>
              </w:rPr>
              <w:t>）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用一艘渔船作业</w:t>
            </w:r>
          </w:p>
        </w:tc>
        <w:tc>
          <w:tcPr>
            <w:tcW w:w="258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1"/>
                <w:sz w:val="23"/>
                <w:szCs w:val="23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对捕捞对象的选择性差，捕捞强度大，对渔业资源破坏严重。破坏底栖生态环境。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44"/>
                <w:szCs w:val="44"/>
              </w:rPr>
            </w:pPr>
          </w:p>
        </w:tc>
        <w:tc>
          <w:tcPr>
            <w:tcW w:w="127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双船拖网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用两艘渔船作业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44"/>
                <w:szCs w:val="44"/>
              </w:rPr>
            </w:pPr>
          </w:p>
        </w:tc>
        <w:tc>
          <w:tcPr>
            <w:tcW w:w="127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多船拖网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用两艘以上的渔船作业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2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地拉网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船布地拉网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(网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30mm)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用船布设在岸边水域中，在岸上作业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ind w:right="155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网目尺寸小，对捕捞对象的选择性差，对幼鱼资源破坏严重。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敷网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拦河撑架敷网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(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30mm)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由支架或支持索和矩形网衣等构成，敷设在河道上作业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ind w:right="105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网目尺寸小，对捕捞对象的选择性差，对幼鱼资源破坏严重。横贯河道拦河作业，阻挡鱼类洄游，影响 河道通航。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8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8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陷阱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2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4"/>
                <w:sz w:val="24"/>
                <w:szCs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4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1" w:line="300" w:lineRule="exact"/>
              <w:jc w:val="center"/>
              <w:textAlignment w:val="auto"/>
              <w:rPr>
                <w:rFonts w:hint="default" w:ascii="Nimbus Roman" w:hAnsi="Nimbus Roman" w:cs="Nimbus Roman"/>
                <w:color w:val="000000"/>
                <w:spacing w:val="-2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-2"/>
                <w:sz w:val="24"/>
                <w:szCs w:val="24"/>
              </w:rPr>
              <w:t>插网陷阱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1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(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30mm)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1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由带形网衣和插杆构成</w:t>
            </w:r>
          </w:p>
        </w:tc>
        <w:tc>
          <w:tcPr>
            <w:tcW w:w="258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ind w:right="134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对捕捞对象的选择性差，对渔业资源破坏严重。阻挡鱼类洄游，影响河道通航。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674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44"/>
                <w:szCs w:val="44"/>
              </w:rPr>
            </w:pPr>
          </w:p>
        </w:tc>
        <w:tc>
          <w:tcPr>
            <w:tcW w:w="127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83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4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2" w:line="300" w:lineRule="exact"/>
              <w:jc w:val="center"/>
              <w:textAlignment w:val="auto"/>
              <w:rPr>
                <w:rFonts w:hint="default" w:ascii="Nimbus Roman" w:hAnsi="Nimbus Roman" w:cs="Nimbus Roman"/>
                <w:color w:val="000000"/>
                <w:spacing w:val="2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2"/>
                <w:sz w:val="24"/>
                <w:szCs w:val="24"/>
              </w:rPr>
              <w:t>建网陷阱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(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网目内径尺寸小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于30mm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2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z w:val="24"/>
                <w:szCs w:val="24"/>
              </w:rPr>
              <w:t>由网墙、网圈和取鱼部等构成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44"/>
                <w:szCs w:val="44"/>
              </w:rPr>
            </w:pPr>
          </w:p>
        </w:tc>
        <w:tc>
          <w:tcPr>
            <w:tcW w:w="1270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4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-4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line="300" w:lineRule="exact"/>
              <w:jc w:val="center"/>
              <w:textAlignment w:val="auto"/>
              <w:rPr>
                <w:rFonts w:hint="default" w:ascii="Nimbus Roman" w:hAnsi="Nimbus Roman" w:cs="Nimbus Roman"/>
                <w:color w:val="000000"/>
                <w:spacing w:val="2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2"/>
                <w:sz w:val="24"/>
                <w:szCs w:val="24"/>
              </w:rPr>
              <w:t>箔箜陷阱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(网</w:t>
            </w: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5"/>
                <w:sz w:val="24"/>
                <w:szCs w:val="24"/>
              </w:rPr>
              <w:t>30mm)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21"/>
                <w:sz w:val="24"/>
                <w:szCs w:val="24"/>
              </w:rPr>
              <w:t>由箔帘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21"/>
                <w:sz w:val="24"/>
                <w:szCs w:val="24"/>
              </w:rPr>
              <w:t>(栅)</w:t>
            </w:r>
            <w:r>
              <w:rPr>
                <w:rFonts w:ascii="Nimbus Roman" w:hAnsi="Nimbus Roman" w:cs="Nimbus Roman"/>
                <w:color w:val="000000"/>
                <w:spacing w:val="21"/>
                <w:sz w:val="24"/>
                <w:szCs w:val="24"/>
              </w:rPr>
              <w:t>和篓构成</w:t>
            </w:r>
          </w:p>
        </w:tc>
        <w:tc>
          <w:tcPr>
            <w:tcW w:w="2583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z w:val="44"/>
                <w:szCs w:val="4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耙刺</w:t>
            </w:r>
          </w:p>
        </w:tc>
        <w:tc>
          <w:tcPr>
            <w:tcW w:w="6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拖曳泵吸耙刺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5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5"/>
                <w:sz w:val="24"/>
                <w:szCs w:val="24"/>
              </w:rPr>
              <w:t>将捕捞对象以抽吸的方式经管道输送至船上，以拖曳方式作业</w:t>
            </w:r>
          </w:p>
        </w:tc>
        <w:tc>
          <w:tcPr>
            <w:tcW w:w="258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8" w:line="300" w:lineRule="exact"/>
              <w:ind w:right="126"/>
              <w:jc w:val="center"/>
              <w:textAlignment w:val="auto"/>
              <w:rPr>
                <w:rFonts w:ascii="Nimbus Roman" w:hAnsi="Nimbus Roman" w:cs="Nimbus Roman"/>
                <w:color w:val="000000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捕捞强度大，严重破坏底栖生物资</w:t>
            </w:r>
            <w:r>
              <w:rPr>
                <w:rFonts w:ascii="Nimbus Roman" w:hAnsi="Nimbus Roman" w:cs="Nimbus Roman"/>
                <w:color w:val="000000"/>
                <w:spacing w:val="13"/>
                <w:sz w:val="24"/>
                <w:szCs w:val="24"/>
              </w:rPr>
              <w:t>源和底栖生态环境。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4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70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笼壶</w:t>
            </w:r>
          </w:p>
        </w:tc>
        <w:tc>
          <w:tcPr>
            <w:tcW w:w="680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33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定置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</w:rPr>
              <w:t>(</w:t>
            </w: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串联)倒须笼壶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</w:rPr>
              <w:t>(</w:t>
            </w: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网目内径尺寸小于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pacing w:val="1"/>
                <w:sz w:val="24"/>
                <w:szCs w:val="24"/>
              </w:rPr>
              <w:t>30mm)</w:t>
            </w:r>
          </w:p>
        </w:tc>
        <w:tc>
          <w:tcPr>
            <w:tcW w:w="56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300" w:lineRule="exact"/>
              <w:jc w:val="center"/>
              <w:textAlignment w:val="auto"/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</w:pPr>
            <w:r>
              <w:rPr>
                <w:rFonts w:ascii="Nimbus Roman" w:hAnsi="Nimbus Roman" w:cs="Nimbus Roman"/>
                <w:color w:val="000000"/>
                <w:spacing w:val="1"/>
                <w:sz w:val="24"/>
                <w:szCs w:val="24"/>
              </w:rPr>
              <w:t>由若干规格相同的刚性框架和网衣构成，连成一体构成笼具，相邻框架间有倒须网口结构，定置于水域中作业</w:t>
            </w:r>
          </w:p>
        </w:tc>
        <w:tc>
          <w:tcPr>
            <w:tcW w:w="25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Nimbus Roman" w:hAnsi="Nimbus Roman" w:eastAsia="方正小标宋简体" w:cs="Nimbus Roman"/>
                <w:color w:val="000000"/>
                <w:sz w:val="44"/>
                <w:szCs w:val="44"/>
              </w:rPr>
            </w:pPr>
            <w:r>
              <w:rPr>
                <w:rFonts w:ascii="Nimbus Roman" w:hAnsi="Nimbus Roman" w:cs="Nimbus Roman"/>
                <w:color w:val="000000"/>
                <w:spacing w:val="-1"/>
                <w:sz w:val="24"/>
                <w:szCs w:val="24"/>
              </w:rPr>
              <w:t>网目尺寸小，对捕捞对象的选择性差，对幼鱼资源破坏严重。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default" w:ascii="Nimbus Roman" w:hAnsi="Nimbus Roman" w:eastAsia="仿宋" w:cs="Nimbus Roman"/>
          <w:color w:val="auto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Nimbus Roman">
    <w:altName w:val="Segoe Print"/>
    <w:panose1 w:val="00000500000000000000"/>
    <w:charset w:val="00"/>
    <w:family w:val="auto"/>
    <w:pitch w:val="default"/>
    <w:sig w:usb0="00000000" w:usb1="00000000" w:usb2="00000000" w:usb3="00000000" w:csb0="6000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E5OGQ4Yjg3N2E0YmI4NWYwZWM4ZGJlOGVkNzY1ZTgifQ=="/>
  </w:docVars>
  <w:rsids>
    <w:rsidRoot w:val="52430AAE"/>
    <w:rsid w:val="0001431F"/>
    <w:rsid w:val="000228B6"/>
    <w:rsid w:val="00022F7F"/>
    <w:rsid w:val="000443C8"/>
    <w:rsid w:val="00061919"/>
    <w:rsid w:val="000A30C2"/>
    <w:rsid w:val="000B4863"/>
    <w:rsid w:val="000C2D6D"/>
    <w:rsid w:val="000F3025"/>
    <w:rsid w:val="000F5DEB"/>
    <w:rsid w:val="000F7CE7"/>
    <w:rsid w:val="00100660"/>
    <w:rsid w:val="00104FA9"/>
    <w:rsid w:val="0011642B"/>
    <w:rsid w:val="0015176F"/>
    <w:rsid w:val="00171B34"/>
    <w:rsid w:val="00171D0F"/>
    <w:rsid w:val="00190547"/>
    <w:rsid w:val="001A25CF"/>
    <w:rsid w:val="001C1821"/>
    <w:rsid w:val="001D5545"/>
    <w:rsid w:val="001F6D53"/>
    <w:rsid w:val="0027385B"/>
    <w:rsid w:val="002A46F5"/>
    <w:rsid w:val="002D0416"/>
    <w:rsid w:val="002D56D0"/>
    <w:rsid w:val="002E5A2F"/>
    <w:rsid w:val="002F32E3"/>
    <w:rsid w:val="00303295"/>
    <w:rsid w:val="00332144"/>
    <w:rsid w:val="00334497"/>
    <w:rsid w:val="003417E4"/>
    <w:rsid w:val="003433E1"/>
    <w:rsid w:val="003564E0"/>
    <w:rsid w:val="0039075F"/>
    <w:rsid w:val="00393341"/>
    <w:rsid w:val="003A5CD8"/>
    <w:rsid w:val="003A5FA5"/>
    <w:rsid w:val="003B0CEC"/>
    <w:rsid w:val="003C0466"/>
    <w:rsid w:val="003C5097"/>
    <w:rsid w:val="003C7D5B"/>
    <w:rsid w:val="003D3175"/>
    <w:rsid w:val="003D6481"/>
    <w:rsid w:val="00407F09"/>
    <w:rsid w:val="00424180"/>
    <w:rsid w:val="00427AE0"/>
    <w:rsid w:val="00445E3C"/>
    <w:rsid w:val="00451E71"/>
    <w:rsid w:val="00491DBF"/>
    <w:rsid w:val="00495A2B"/>
    <w:rsid w:val="004A4B8C"/>
    <w:rsid w:val="004D1AB6"/>
    <w:rsid w:val="004D339F"/>
    <w:rsid w:val="004E4896"/>
    <w:rsid w:val="00522D63"/>
    <w:rsid w:val="00525387"/>
    <w:rsid w:val="00552813"/>
    <w:rsid w:val="00555B7D"/>
    <w:rsid w:val="0056667A"/>
    <w:rsid w:val="00574095"/>
    <w:rsid w:val="00582A1B"/>
    <w:rsid w:val="00594122"/>
    <w:rsid w:val="00594FE8"/>
    <w:rsid w:val="005964A3"/>
    <w:rsid w:val="005A0760"/>
    <w:rsid w:val="005A4364"/>
    <w:rsid w:val="005A4E51"/>
    <w:rsid w:val="005B625F"/>
    <w:rsid w:val="005B6CCD"/>
    <w:rsid w:val="005C3297"/>
    <w:rsid w:val="005E5A8D"/>
    <w:rsid w:val="005E7FA0"/>
    <w:rsid w:val="0062092E"/>
    <w:rsid w:val="0062139A"/>
    <w:rsid w:val="00626A16"/>
    <w:rsid w:val="00654C82"/>
    <w:rsid w:val="00657F01"/>
    <w:rsid w:val="006870D7"/>
    <w:rsid w:val="006D5C24"/>
    <w:rsid w:val="006E3C2B"/>
    <w:rsid w:val="006F74A0"/>
    <w:rsid w:val="00705606"/>
    <w:rsid w:val="00712716"/>
    <w:rsid w:val="007210B5"/>
    <w:rsid w:val="0072504B"/>
    <w:rsid w:val="007330CA"/>
    <w:rsid w:val="007471B2"/>
    <w:rsid w:val="0074773A"/>
    <w:rsid w:val="0075420E"/>
    <w:rsid w:val="0075497C"/>
    <w:rsid w:val="0078569E"/>
    <w:rsid w:val="00794801"/>
    <w:rsid w:val="007D1E67"/>
    <w:rsid w:val="008030BB"/>
    <w:rsid w:val="00817CAB"/>
    <w:rsid w:val="00824DCD"/>
    <w:rsid w:val="0083400A"/>
    <w:rsid w:val="008468A9"/>
    <w:rsid w:val="008541F3"/>
    <w:rsid w:val="00862505"/>
    <w:rsid w:val="00865AC7"/>
    <w:rsid w:val="00867CD3"/>
    <w:rsid w:val="00877F39"/>
    <w:rsid w:val="00884F66"/>
    <w:rsid w:val="008A6796"/>
    <w:rsid w:val="008A74C7"/>
    <w:rsid w:val="008B103D"/>
    <w:rsid w:val="008B1FE8"/>
    <w:rsid w:val="008C2B0A"/>
    <w:rsid w:val="008D4010"/>
    <w:rsid w:val="008E21A9"/>
    <w:rsid w:val="008E24ED"/>
    <w:rsid w:val="008E346B"/>
    <w:rsid w:val="008E4F46"/>
    <w:rsid w:val="008E50E6"/>
    <w:rsid w:val="008F31B0"/>
    <w:rsid w:val="00901B4E"/>
    <w:rsid w:val="0090471B"/>
    <w:rsid w:val="009055C0"/>
    <w:rsid w:val="00916339"/>
    <w:rsid w:val="00921F8B"/>
    <w:rsid w:val="009374C1"/>
    <w:rsid w:val="00950795"/>
    <w:rsid w:val="00973703"/>
    <w:rsid w:val="0097713A"/>
    <w:rsid w:val="009825F0"/>
    <w:rsid w:val="00984F2D"/>
    <w:rsid w:val="009A17A0"/>
    <w:rsid w:val="009A73B8"/>
    <w:rsid w:val="009B4933"/>
    <w:rsid w:val="009B4D6C"/>
    <w:rsid w:val="009D680A"/>
    <w:rsid w:val="00A24757"/>
    <w:rsid w:val="00A32BBD"/>
    <w:rsid w:val="00A35553"/>
    <w:rsid w:val="00A40258"/>
    <w:rsid w:val="00A5637E"/>
    <w:rsid w:val="00A635BD"/>
    <w:rsid w:val="00A7417A"/>
    <w:rsid w:val="00A8054D"/>
    <w:rsid w:val="00A82901"/>
    <w:rsid w:val="00A836F0"/>
    <w:rsid w:val="00A843E9"/>
    <w:rsid w:val="00AE2766"/>
    <w:rsid w:val="00AF1C9A"/>
    <w:rsid w:val="00B22C6A"/>
    <w:rsid w:val="00B4173B"/>
    <w:rsid w:val="00B544D3"/>
    <w:rsid w:val="00B560CB"/>
    <w:rsid w:val="00B610DE"/>
    <w:rsid w:val="00B716A9"/>
    <w:rsid w:val="00B71E05"/>
    <w:rsid w:val="00B72337"/>
    <w:rsid w:val="00B95D85"/>
    <w:rsid w:val="00BA375D"/>
    <w:rsid w:val="00BA6C0D"/>
    <w:rsid w:val="00BA70ED"/>
    <w:rsid w:val="00BB2013"/>
    <w:rsid w:val="00BC2D06"/>
    <w:rsid w:val="00BC42B1"/>
    <w:rsid w:val="00BE3B62"/>
    <w:rsid w:val="00BF3C87"/>
    <w:rsid w:val="00C0667C"/>
    <w:rsid w:val="00C14D5D"/>
    <w:rsid w:val="00C205BA"/>
    <w:rsid w:val="00C33BF6"/>
    <w:rsid w:val="00C45846"/>
    <w:rsid w:val="00CB07C8"/>
    <w:rsid w:val="00CB5527"/>
    <w:rsid w:val="00CD042D"/>
    <w:rsid w:val="00CF3910"/>
    <w:rsid w:val="00D0579D"/>
    <w:rsid w:val="00D13BBB"/>
    <w:rsid w:val="00D2199D"/>
    <w:rsid w:val="00D26D4C"/>
    <w:rsid w:val="00D34CB9"/>
    <w:rsid w:val="00D41DBA"/>
    <w:rsid w:val="00D54C82"/>
    <w:rsid w:val="00D54F4F"/>
    <w:rsid w:val="00D63EE4"/>
    <w:rsid w:val="00D7733F"/>
    <w:rsid w:val="00D777FE"/>
    <w:rsid w:val="00DA0152"/>
    <w:rsid w:val="00DB186C"/>
    <w:rsid w:val="00DC7097"/>
    <w:rsid w:val="00DF729A"/>
    <w:rsid w:val="00E02943"/>
    <w:rsid w:val="00E034B0"/>
    <w:rsid w:val="00E238F2"/>
    <w:rsid w:val="00E254E9"/>
    <w:rsid w:val="00E25D68"/>
    <w:rsid w:val="00E36785"/>
    <w:rsid w:val="00E66CBA"/>
    <w:rsid w:val="00E820BF"/>
    <w:rsid w:val="00E82FB4"/>
    <w:rsid w:val="00E9042F"/>
    <w:rsid w:val="00E9501A"/>
    <w:rsid w:val="00EA0341"/>
    <w:rsid w:val="00EC26A2"/>
    <w:rsid w:val="00EF2DE8"/>
    <w:rsid w:val="00F00549"/>
    <w:rsid w:val="00F435FA"/>
    <w:rsid w:val="00F529E3"/>
    <w:rsid w:val="00F71198"/>
    <w:rsid w:val="00F72C80"/>
    <w:rsid w:val="00F750A0"/>
    <w:rsid w:val="00F86276"/>
    <w:rsid w:val="00F87C2F"/>
    <w:rsid w:val="00F913BB"/>
    <w:rsid w:val="00FA0DF5"/>
    <w:rsid w:val="00FA20FC"/>
    <w:rsid w:val="00FA3872"/>
    <w:rsid w:val="00FC4578"/>
    <w:rsid w:val="00FD006F"/>
    <w:rsid w:val="00FD11AF"/>
    <w:rsid w:val="00FF6D66"/>
    <w:rsid w:val="016B1AAC"/>
    <w:rsid w:val="03964E1E"/>
    <w:rsid w:val="0AEB24F0"/>
    <w:rsid w:val="0F9801FB"/>
    <w:rsid w:val="15671D54"/>
    <w:rsid w:val="175BFDF3"/>
    <w:rsid w:val="18CA35CA"/>
    <w:rsid w:val="23EA545C"/>
    <w:rsid w:val="26AC220D"/>
    <w:rsid w:val="27AF8CCA"/>
    <w:rsid w:val="29292395"/>
    <w:rsid w:val="2EBF7E40"/>
    <w:rsid w:val="303A3568"/>
    <w:rsid w:val="318E3ACA"/>
    <w:rsid w:val="39865087"/>
    <w:rsid w:val="403B67D7"/>
    <w:rsid w:val="507424EE"/>
    <w:rsid w:val="52430AAE"/>
    <w:rsid w:val="54E029AD"/>
    <w:rsid w:val="556610B8"/>
    <w:rsid w:val="57872654"/>
    <w:rsid w:val="594E03E3"/>
    <w:rsid w:val="5CA04980"/>
    <w:rsid w:val="5DCD5A99"/>
    <w:rsid w:val="5DDD7B8C"/>
    <w:rsid w:val="5E5F77A0"/>
    <w:rsid w:val="6B206150"/>
    <w:rsid w:val="6BF931DD"/>
    <w:rsid w:val="6E4E0530"/>
    <w:rsid w:val="70182BA3"/>
    <w:rsid w:val="77894EF5"/>
    <w:rsid w:val="7BBF662B"/>
    <w:rsid w:val="7C861CF2"/>
    <w:rsid w:val="7D832A34"/>
    <w:rsid w:val="7DDD3C97"/>
    <w:rsid w:val="8FFD6C69"/>
    <w:rsid w:val="A3BF1459"/>
    <w:rsid w:val="BFE511E3"/>
    <w:rsid w:val="C7F51042"/>
    <w:rsid w:val="D3D97CBB"/>
    <w:rsid w:val="EEFDE1F4"/>
    <w:rsid w:val="F67E3619"/>
    <w:rsid w:val="FCFF1D7A"/>
    <w:rsid w:val="FFFCA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autoRedefine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6"/>
    <w:autoRedefine/>
    <w:qFormat/>
    <w:uiPriority w:val="0"/>
    <w:pPr>
      <w:jc w:val="left"/>
    </w:pPr>
  </w:style>
  <w:style w:type="paragraph" w:styleId="4">
    <w:name w:val="Balloon Text"/>
    <w:basedOn w:val="1"/>
    <w:link w:val="15"/>
    <w:autoRedefine/>
    <w:qFormat/>
    <w:uiPriority w:val="0"/>
    <w:rPr>
      <w:sz w:val="18"/>
      <w:szCs w:val="18"/>
    </w:rPr>
  </w:style>
  <w:style w:type="paragraph" w:styleId="5">
    <w:name w:val="footer"/>
    <w:basedOn w:val="1"/>
    <w:link w:val="14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8">
    <w:name w:val="annotation subject"/>
    <w:basedOn w:val="3"/>
    <w:next w:val="3"/>
    <w:link w:val="17"/>
    <w:autoRedefine/>
    <w:qFormat/>
    <w:uiPriority w:val="0"/>
    <w:rPr>
      <w:b/>
      <w:bCs/>
    </w:rPr>
  </w:style>
  <w:style w:type="character" w:styleId="11">
    <w:name w:val="Hyperlink"/>
    <w:basedOn w:val="10"/>
    <w:autoRedefine/>
    <w:qFormat/>
    <w:uiPriority w:val="0"/>
    <w:rPr>
      <w:color w:val="0000FF"/>
      <w:u w:val="single"/>
    </w:rPr>
  </w:style>
  <w:style w:type="character" w:styleId="12">
    <w:name w:val="annotation reference"/>
    <w:basedOn w:val="10"/>
    <w:autoRedefine/>
    <w:qFormat/>
    <w:uiPriority w:val="0"/>
    <w:rPr>
      <w:sz w:val="21"/>
      <w:szCs w:val="21"/>
    </w:rPr>
  </w:style>
  <w:style w:type="character" w:customStyle="1" w:styleId="13">
    <w:name w:val="页眉 Char"/>
    <w:basedOn w:val="10"/>
    <w:link w:val="6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页脚 Char"/>
    <w:basedOn w:val="10"/>
    <w:link w:val="5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批注框文本 Char"/>
    <w:basedOn w:val="10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批注文字 Char"/>
    <w:basedOn w:val="10"/>
    <w:link w:val="3"/>
    <w:autoRedefine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7">
    <w:name w:val="批注主题 Char"/>
    <w:basedOn w:val="16"/>
    <w:link w:val="8"/>
    <w:autoRedefine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character" w:customStyle="1" w:styleId="18">
    <w:name w:val="rgroup"/>
    <w:basedOn w:val="10"/>
    <w:autoRedefine/>
    <w:qFormat/>
    <w:uiPriority w:val="0"/>
  </w:style>
  <w:style w:type="paragraph" w:styleId="19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0">
    <w:name w:val="NormalCharacter"/>
    <w:autoRedefine/>
    <w:qFormat/>
    <w:uiPriority w:val="0"/>
    <w:rPr>
      <w:rFonts w:ascii="Calibri" w:hAnsi="Calibri" w:eastAsia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2133</Words>
  <Characters>2344</Characters>
  <Lines>31</Lines>
  <Paragraphs>8</Paragraphs>
  <TotalTime>25</TotalTime>
  <ScaleCrop>false</ScaleCrop>
  <LinksUpToDate>false</LinksUpToDate>
  <CharactersWithSpaces>2364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2022-10-08T03:18:00Z</dcterms:created>
  <dc:creator>梦回唐朝</dc:creator>
  <cp:lastModifiedBy>林初有</cp:lastModifiedBy>
  <cp:lastPrinted>2022-10-12T00:52:00Z</cp:lastPrinted>
  <dcterms:modified xsi:type="dcterms:W3CDTF">2024-05-14T09:45:04Z</dcterms:modified>
  <cp:revision>205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A941850B28C742B59CEB1B38628B1B7A_13</vt:lpwstr>
  </property>
</Properties>
</file>