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eastAsia="华文中宋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eastAsia="华文中宋"/>
          <w:b/>
          <w:bCs/>
          <w:kern w:val="0"/>
          <w:sz w:val="44"/>
          <w:szCs w:val="44"/>
        </w:rPr>
        <w:t>远程视频监控巡查</w:t>
      </w:r>
      <w:r>
        <w:rPr>
          <w:rFonts w:hint="eastAsia" w:eastAsia="华文中宋"/>
          <w:b/>
          <w:bCs/>
          <w:kern w:val="0"/>
          <w:sz w:val="44"/>
          <w:szCs w:val="44"/>
          <w:lang w:eastAsia="zh-CN"/>
        </w:rPr>
        <w:t>工作人员名单</w:t>
      </w:r>
      <w:bookmarkEnd w:id="0"/>
    </w:p>
    <w:p>
      <w:pPr>
        <w:spacing w:line="560" w:lineRule="exact"/>
        <w:jc w:val="center"/>
        <w:rPr>
          <w:rFonts w:hint="eastAsia" w:eastAsia="华文中宋"/>
          <w:b/>
          <w:bCs/>
          <w:kern w:val="0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margin" w:tblpXSpec="center" w:tblpY="108"/>
        <w:tblW w:w="14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912"/>
        <w:gridCol w:w="1752"/>
        <w:gridCol w:w="1632"/>
        <w:gridCol w:w="1728"/>
        <w:gridCol w:w="213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市、县</w:t>
            </w: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spacing w:line="300" w:lineRule="exact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巡查职责任务</w:t>
            </w:r>
          </w:p>
        </w:tc>
        <w:tc>
          <w:tcPr>
            <w:tcW w:w="2136" w:type="dxa"/>
            <w:vAlign w:val="center"/>
          </w:tcPr>
          <w:p>
            <w:pPr>
              <w:tabs>
                <w:tab w:val="left" w:pos="496"/>
                <w:tab w:val="left" w:pos="5338"/>
              </w:tabs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2027" w:type="dxa"/>
            <w:vAlign w:val="center"/>
          </w:tcPr>
          <w:p>
            <w:pPr>
              <w:tabs>
                <w:tab w:val="left" w:pos="496"/>
                <w:tab w:val="left" w:pos="5338"/>
              </w:tabs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tabs>
                <w:tab w:val="left" w:pos="5338"/>
              </w:tabs>
              <w:rPr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注：巡查职责任务栏中，如为本单位巡查工作分管负责人，则填分管领导；如为具体监控巡查人员，则填具体任务分工。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3375"/>
    <w:rsid w:val="6A813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2019-06-06T08:18:00Z</dcterms:created>
  <dc:creator>刘晓宇</dc:creator>
  <cp:lastModifiedBy>刘晓宇</cp:lastModifiedBy>
  <dcterms:modified xsi:type="dcterms:W3CDTF">2019-06-06T08:19:03Z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