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32" w:lineRule="atLeast"/>
        <w:jc w:val="left"/>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附件2</w:t>
      </w:r>
    </w:p>
    <w:p>
      <w:pPr>
        <w:widowControl/>
        <w:spacing w:line="432" w:lineRule="atLeast"/>
        <w:jc w:val="left"/>
        <w:rPr>
          <w:rFonts w:hint="eastAsia" w:ascii="方正黑体_GBK" w:hAnsi="方正黑体_GBK" w:eastAsia="方正黑体_GBK" w:cs="方正黑体_GBK"/>
          <w:sz w:val="32"/>
          <w:szCs w:val="32"/>
        </w:r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油菜毯状苗联合移栽机安全性验证方案</w:t>
      </w:r>
    </w:p>
    <w:p>
      <w:pPr>
        <w:spacing w:before="240" w:after="240"/>
        <w:ind w:right="-56" w:rightChars="-27"/>
        <w:rPr>
          <w:rFonts w:ascii="宋体" w:hAnsi="宋体"/>
          <w:szCs w:val="24"/>
        </w:rPr>
      </w:pPr>
    </w:p>
    <w:p>
      <w:pPr>
        <w:spacing w:before="240" w:after="240"/>
        <w:rPr>
          <w:rFonts w:ascii="黑体" w:hAnsi="黑体" w:eastAsia="黑体"/>
          <w:sz w:val="28"/>
          <w:szCs w:val="28"/>
        </w:rPr>
      </w:pPr>
      <w:r>
        <w:rPr>
          <w:rFonts w:ascii="黑体" w:hAnsi="黑体" w:eastAsia="黑体"/>
          <w:szCs w:val="24"/>
        </w:rPr>
        <w:t>1</w:t>
      </w:r>
      <w:r>
        <w:rPr>
          <w:rFonts w:hint="eastAsia" w:ascii="黑体" w:hAnsi="黑体" w:eastAsia="黑体"/>
          <w:szCs w:val="24"/>
        </w:rPr>
        <w:t xml:space="preserve">  </w:t>
      </w:r>
      <w:r>
        <w:rPr>
          <w:rFonts w:hint="eastAsia" w:ascii="黑体" w:hAnsi="黑体" w:eastAsia="黑体"/>
        </w:rPr>
        <w:t>范围</w:t>
      </w:r>
    </w:p>
    <w:p>
      <w:pPr>
        <w:pStyle w:val="19"/>
        <w:numPr>
          <w:ilvl w:val="0"/>
          <w:numId w:val="0"/>
        </w:numPr>
        <w:spacing w:before="146" w:after="146"/>
        <w:rPr>
          <w:rFonts w:ascii="宋体" w:eastAsia="宋体"/>
        </w:rPr>
      </w:pPr>
      <w:r>
        <w:rPr>
          <w:rFonts w:hint="eastAsia" w:ascii="宋体" w:eastAsia="宋体"/>
        </w:rPr>
        <w:t>1.1  本方案规定了油菜毯状苗联合移栽机的安全性验证。</w:t>
      </w:r>
    </w:p>
    <w:p>
      <w:pPr>
        <w:pStyle w:val="19"/>
        <w:numPr>
          <w:ilvl w:val="0"/>
          <w:numId w:val="0"/>
        </w:numPr>
        <w:spacing w:before="146" w:after="146"/>
        <w:rPr>
          <w:rFonts w:ascii="宋体" w:eastAsia="宋体"/>
        </w:rPr>
      </w:pPr>
      <w:r>
        <w:rPr>
          <w:rFonts w:hint="eastAsia" w:ascii="宋体" w:eastAsia="宋体"/>
        </w:rPr>
        <w:t>1.2  油菜毯状苗联合移栽机是由拖拉机提供动力，可以进行旋耕埋茬、开沟做畦、切缝栽植、覆土镇压等作业按照农艺要求的穴距、行距和深度将毯状苗栽植入土的机具。</w:t>
      </w:r>
    </w:p>
    <w:p>
      <w:pPr>
        <w:pStyle w:val="19"/>
        <w:numPr>
          <w:ilvl w:val="0"/>
          <w:numId w:val="0"/>
        </w:numPr>
        <w:spacing w:before="146" w:after="146"/>
        <w:rPr>
          <w:rFonts w:ascii="宋体" w:eastAsia="宋体"/>
        </w:rPr>
      </w:pPr>
      <w:r>
        <w:rPr>
          <w:rFonts w:hint="eastAsia" w:ascii="宋体" w:eastAsia="宋体"/>
        </w:rPr>
        <w:t>1.3  本方案在农业农村部农业机械化管理司和农业农村部农业机械化总站的指导下，江苏、浙江、安徽、江西、湖北、湖南、重庆、四川、贵州、云南等省农业农村部门相关单位共同制定。</w:t>
      </w:r>
    </w:p>
    <w:p>
      <w:pPr>
        <w:spacing w:before="240" w:after="240"/>
        <w:rPr>
          <w:rFonts w:ascii="黑体" w:hAnsi="黑体" w:eastAsia="黑体"/>
          <w:szCs w:val="24"/>
        </w:rPr>
      </w:pPr>
      <w:r>
        <w:rPr>
          <w:rFonts w:hint="eastAsia" w:ascii="黑体" w:hAnsi="黑体" w:eastAsia="黑体"/>
          <w:szCs w:val="24"/>
        </w:rPr>
        <w:t>2  规范性引用文件</w:t>
      </w:r>
    </w:p>
    <w:p>
      <w:pPr>
        <w:pStyle w:val="19"/>
        <w:numPr>
          <w:ilvl w:val="0"/>
          <w:numId w:val="0"/>
        </w:numPr>
        <w:spacing w:before="146" w:after="146"/>
        <w:ind w:firstLine="420" w:firstLineChars="200"/>
        <w:rPr>
          <w:rFonts w:ascii="宋体" w:eastAsia="宋体"/>
        </w:rPr>
      </w:pPr>
      <w:r>
        <w:rPr>
          <w:rFonts w:hint="eastAsia" w:ascii="宋体" w:eastAsia="宋体"/>
        </w:rPr>
        <w:t>下列文件中的内容通过文中的规范性引用而构成本方案必不可少的条款。其中，注明日期的引用文件，仅该日期对应的版本适用于本方案。不注日期的引用文件，其最新版本（包括所有的修改单）适用于本方案。</w:t>
      </w:r>
    </w:p>
    <w:p>
      <w:pPr>
        <w:ind w:firstLine="420" w:firstLineChars="200"/>
      </w:pPr>
      <w:r>
        <w:rPr>
          <w:rFonts w:hint="eastAsia" w:ascii="宋体"/>
        </w:rPr>
        <w:t>GB/T  5668-2017  旋耕机</w:t>
      </w:r>
    </w:p>
    <w:p>
      <w:pPr>
        <w:pStyle w:val="19"/>
        <w:numPr>
          <w:ilvl w:val="0"/>
          <w:numId w:val="0"/>
        </w:numPr>
        <w:spacing w:before="146" w:after="146"/>
        <w:ind w:left="420"/>
        <w:rPr>
          <w:rFonts w:ascii="宋体" w:eastAsia="宋体"/>
        </w:rPr>
      </w:pPr>
      <w:r>
        <w:rPr>
          <w:rFonts w:hint="eastAsia" w:ascii="宋体" w:eastAsia="宋体"/>
        </w:rPr>
        <w:t>GB 10395.1-</w:t>
      </w:r>
      <w:r>
        <w:rPr>
          <w:rFonts w:ascii="宋体" w:eastAsia="宋体"/>
        </w:rPr>
        <w:t>2009</w:t>
      </w:r>
      <w:r>
        <w:rPr>
          <w:rFonts w:hint="eastAsia" w:ascii="宋体" w:eastAsia="宋体"/>
        </w:rPr>
        <w:t>农林机械  安全  第1部分：总则</w:t>
      </w:r>
    </w:p>
    <w:p>
      <w:r>
        <w:rPr>
          <w:rFonts w:hint="eastAsia"/>
        </w:rPr>
        <w:t xml:space="preserve">    </w:t>
      </w:r>
      <w:r>
        <w:rPr>
          <w:rFonts w:hint="eastAsia" w:ascii="宋体"/>
        </w:rPr>
        <w:t>GB 10395.9-</w:t>
      </w:r>
      <w:r>
        <w:rPr>
          <w:rFonts w:ascii="宋体"/>
        </w:rPr>
        <w:t>20</w:t>
      </w:r>
      <w:r>
        <w:rPr>
          <w:rFonts w:hint="eastAsia" w:ascii="宋体"/>
        </w:rPr>
        <w:t>14农林机械  安全  第9部分：播种机械</w:t>
      </w:r>
    </w:p>
    <w:p>
      <w:pPr>
        <w:pStyle w:val="19"/>
        <w:numPr>
          <w:ilvl w:val="0"/>
          <w:numId w:val="0"/>
        </w:numPr>
        <w:spacing w:before="146" w:after="146"/>
        <w:ind w:left="420"/>
        <w:rPr>
          <w:rFonts w:ascii="宋体" w:eastAsia="宋体"/>
        </w:rPr>
      </w:pPr>
      <w:r>
        <w:rPr>
          <w:rFonts w:hint="eastAsia" w:ascii="宋体" w:eastAsia="宋体"/>
        </w:rPr>
        <w:t>GB 10396-</w:t>
      </w:r>
      <w:r>
        <w:rPr>
          <w:rFonts w:ascii="宋体" w:eastAsia="宋体"/>
        </w:rPr>
        <w:t>20</w:t>
      </w:r>
      <w:r>
        <w:rPr>
          <w:rFonts w:hint="eastAsia" w:ascii="宋体" w:eastAsia="宋体"/>
        </w:rPr>
        <w:t>06 农林拖拉机和机械、草坪和园艺动力机械  安全标志和危险图形  总则</w:t>
      </w:r>
    </w:p>
    <w:p>
      <w:pPr>
        <w:spacing w:before="240" w:after="240"/>
      </w:pPr>
      <w:r>
        <w:rPr>
          <w:rFonts w:hint="eastAsia" w:ascii="黑体" w:hAnsi="黑体" w:eastAsia="黑体"/>
          <w:szCs w:val="24"/>
        </w:rPr>
        <w:t>3  验证项目</w:t>
      </w:r>
    </w:p>
    <w:p>
      <w:pPr>
        <w:pStyle w:val="19"/>
        <w:numPr>
          <w:ilvl w:val="0"/>
          <w:numId w:val="0"/>
        </w:numPr>
        <w:spacing w:before="146" w:after="146"/>
        <w:ind w:firstLine="420" w:firstLineChars="200"/>
        <w:rPr>
          <w:rFonts w:ascii="宋体" w:eastAsia="宋体"/>
        </w:rPr>
      </w:pPr>
      <w:r>
        <w:rPr>
          <w:rFonts w:hint="eastAsia" w:ascii="宋体" w:eastAsia="宋体"/>
        </w:rPr>
        <w:t>旋耕整地，液压系统，栽植部件，操纵机构，装载台，护栏，支撑机构，外露传动装置和旋转部件，稳定性，使用信息。</w:t>
      </w:r>
    </w:p>
    <w:p>
      <w:pPr>
        <w:spacing w:before="240" w:after="240"/>
        <w:rPr>
          <w:rFonts w:ascii="黑体" w:hAnsi="黑体" w:eastAsia="黑体"/>
          <w:szCs w:val="24"/>
        </w:rPr>
      </w:pPr>
      <w:r>
        <w:rPr>
          <w:rFonts w:hint="eastAsia" w:ascii="黑体" w:hAnsi="黑体" w:eastAsia="黑体"/>
          <w:szCs w:val="24"/>
        </w:rPr>
        <w:t>4  验证要求</w:t>
      </w:r>
    </w:p>
    <w:p>
      <w:pPr>
        <w:pStyle w:val="19"/>
        <w:numPr>
          <w:ilvl w:val="0"/>
          <w:numId w:val="0"/>
        </w:numPr>
        <w:spacing w:before="146" w:after="146"/>
        <w:ind w:firstLine="420" w:firstLineChars="200"/>
        <w:rPr>
          <w:rFonts w:ascii="宋体" w:hAnsi="宋体" w:eastAsia="宋体"/>
        </w:rPr>
      </w:pPr>
      <w:r>
        <w:rPr>
          <w:rFonts w:hint="eastAsia" w:ascii="宋体" w:eastAsia="宋体"/>
        </w:rPr>
        <w:t>外</w:t>
      </w:r>
      <w:r>
        <w:rPr>
          <w:rFonts w:hint="eastAsia" w:ascii="宋体" w:hAnsi="宋体" w:eastAsia="宋体"/>
        </w:rPr>
        <w:t>露运转件及靠近操作人员工作位置的驱动轮、旋转栽植臂等应有防护装置，防护装置的安全距离符合G</w:t>
      </w:r>
      <w:r>
        <w:rPr>
          <w:rFonts w:ascii="宋体" w:hAnsi="宋体" w:eastAsia="宋体"/>
        </w:rPr>
        <w:t>B</w:t>
      </w:r>
      <w:r>
        <w:rPr>
          <w:rFonts w:hint="eastAsia" w:ascii="宋体" w:hAnsi="宋体" w:eastAsia="宋体"/>
        </w:rPr>
        <w:t>/T  5668-</w:t>
      </w:r>
      <w:r>
        <w:rPr>
          <w:rFonts w:ascii="宋体" w:hAnsi="宋体" w:eastAsia="宋体"/>
        </w:rPr>
        <w:t>20</w:t>
      </w:r>
      <w:r>
        <w:rPr>
          <w:rFonts w:hint="eastAsia" w:ascii="宋体" w:hAnsi="宋体" w:eastAsia="宋体"/>
        </w:rPr>
        <w:t>17的第7.1</w:t>
      </w:r>
      <w:r>
        <w:rPr>
          <w:rFonts w:ascii="宋体" w:hAnsi="宋体" w:eastAsia="宋体"/>
        </w:rPr>
        <w:t>.</w:t>
      </w:r>
      <w:r>
        <w:rPr>
          <w:rFonts w:hint="eastAsia" w:ascii="宋体" w:hAnsi="宋体" w:eastAsia="宋体"/>
        </w:rPr>
        <w:t>、</w:t>
      </w:r>
      <w:r>
        <w:rPr>
          <w:rFonts w:ascii="宋体" w:hAnsi="宋体" w:eastAsia="宋体"/>
        </w:rPr>
        <w:t xml:space="preserve"> 7.</w:t>
      </w:r>
      <w:r>
        <w:rPr>
          <w:rFonts w:hint="eastAsia" w:ascii="宋体" w:hAnsi="宋体" w:eastAsia="宋体"/>
        </w:rPr>
        <w:t>2条的规定。</w:t>
      </w:r>
    </w:p>
    <w:p>
      <w:pPr>
        <w:pStyle w:val="19"/>
        <w:numPr>
          <w:ilvl w:val="0"/>
          <w:numId w:val="0"/>
        </w:numPr>
        <w:spacing w:before="146" w:after="146"/>
        <w:ind w:left="420"/>
        <w:rPr>
          <w:rFonts w:ascii="宋体" w:hAnsi="宋体" w:eastAsia="宋体"/>
        </w:rPr>
      </w:pPr>
      <w:r>
        <w:rPr>
          <w:rFonts w:hint="eastAsia" w:ascii="宋体" w:hAnsi="宋体" w:eastAsia="宋体"/>
        </w:rPr>
        <w:t>旋耕整地符合GB/T  5668-2017第7.4、7.5、7.6、7.7条的</w:t>
      </w:r>
      <w:r>
        <w:rPr>
          <w:rFonts w:hint="eastAsia" w:ascii="宋体" w:eastAsia="宋体"/>
        </w:rPr>
        <w:t>相关规定</w:t>
      </w:r>
      <w:r>
        <w:rPr>
          <w:rFonts w:hint="eastAsia" w:ascii="宋体" w:hAnsi="宋体" w:eastAsia="宋体"/>
        </w:rPr>
        <w:t>。</w:t>
      </w:r>
    </w:p>
    <w:p>
      <w:pPr>
        <w:pStyle w:val="19"/>
        <w:numPr>
          <w:ilvl w:val="0"/>
          <w:numId w:val="0"/>
        </w:numPr>
        <w:spacing w:before="146" w:after="146"/>
        <w:ind w:left="420"/>
        <w:rPr>
          <w:rFonts w:ascii="宋体" w:hAnsi="宋体" w:eastAsia="宋体"/>
        </w:rPr>
      </w:pPr>
      <w:r>
        <w:rPr>
          <w:rFonts w:hint="eastAsia" w:ascii="宋体" w:hAnsi="宋体" w:eastAsia="宋体"/>
        </w:rPr>
        <w:t>液压系统符合</w:t>
      </w:r>
      <w:r>
        <w:rPr>
          <w:rFonts w:hint="eastAsia" w:ascii="宋体" w:eastAsia="宋体"/>
        </w:rPr>
        <w:t>GB 10395.1-</w:t>
      </w:r>
      <w:r>
        <w:rPr>
          <w:rFonts w:ascii="宋体" w:eastAsia="宋体"/>
        </w:rPr>
        <w:t>2009</w:t>
      </w:r>
      <w:r>
        <w:rPr>
          <w:rFonts w:hint="eastAsia" w:ascii="宋体" w:hAnsi="宋体" w:eastAsia="宋体"/>
        </w:rPr>
        <w:t>第4.8.3、4.10.2条的</w:t>
      </w:r>
      <w:r>
        <w:rPr>
          <w:rFonts w:hint="eastAsia" w:ascii="宋体" w:eastAsia="宋体"/>
        </w:rPr>
        <w:t>相关</w:t>
      </w:r>
      <w:r>
        <w:rPr>
          <w:rFonts w:hint="eastAsia" w:ascii="宋体" w:hAnsi="宋体" w:eastAsia="宋体"/>
        </w:rPr>
        <w:t>规定。</w:t>
      </w:r>
    </w:p>
    <w:p>
      <w:pPr>
        <w:pStyle w:val="19"/>
        <w:numPr>
          <w:ilvl w:val="0"/>
          <w:numId w:val="0"/>
        </w:numPr>
        <w:spacing w:before="146" w:after="146"/>
        <w:ind w:left="420"/>
        <w:rPr>
          <w:rFonts w:ascii="宋体" w:eastAsia="宋体"/>
        </w:rPr>
      </w:pPr>
      <w:r>
        <w:rPr>
          <w:rFonts w:hint="eastAsia" w:ascii="宋体" w:eastAsia="宋体"/>
        </w:rPr>
        <w:t>操纵机构符合</w:t>
      </w:r>
      <w:r>
        <w:rPr>
          <w:rFonts w:ascii="宋体" w:eastAsia="宋体"/>
        </w:rPr>
        <w:t>GB10395.1-2009</w:t>
      </w:r>
      <w:r>
        <w:rPr>
          <w:rFonts w:hint="eastAsia" w:ascii="宋体" w:eastAsia="宋体"/>
        </w:rPr>
        <w:t>第</w:t>
      </w:r>
      <w:r>
        <w:rPr>
          <w:rFonts w:ascii="宋体" w:eastAsia="宋体"/>
        </w:rPr>
        <w:t>4.</w:t>
      </w:r>
      <w:r>
        <w:rPr>
          <w:rFonts w:hint="eastAsia" w:ascii="宋体" w:eastAsia="宋体"/>
        </w:rPr>
        <w:t>4.1条的相关规定。</w:t>
      </w:r>
    </w:p>
    <w:p>
      <w:pPr>
        <w:pStyle w:val="19"/>
        <w:numPr>
          <w:ilvl w:val="0"/>
          <w:numId w:val="0"/>
        </w:numPr>
        <w:spacing w:before="146" w:after="146"/>
        <w:ind w:left="420"/>
        <w:rPr>
          <w:rFonts w:ascii="宋体" w:eastAsia="宋体"/>
          <w:szCs w:val="21"/>
        </w:rPr>
      </w:pPr>
      <w:r>
        <w:rPr>
          <w:rFonts w:hint="eastAsia" w:ascii="宋体" w:eastAsia="宋体"/>
          <w:szCs w:val="21"/>
        </w:rPr>
        <w:t>稳定性符合</w:t>
      </w:r>
      <w:r>
        <w:rPr>
          <w:rFonts w:ascii="宋体" w:eastAsia="宋体"/>
        </w:rPr>
        <w:t>GB10395.1-2009</w:t>
      </w:r>
      <w:r>
        <w:rPr>
          <w:rFonts w:hint="eastAsia" w:ascii="宋体" w:eastAsia="宋体"/>
        </w:rPr>
        <w:t>第</w:t>
      </w:r>
      <w:r>
        <w:rPr>
          <w:rFonts w:ascii="宋体" w:eastAsia="宋体"/>
        </w:rPr>
        <w:t>6.</w:t>
      </w:r>
      <w:r>
        <w:rPr>
          <w:rFonts w:hint="eastAsia" w:ascii="宋体" w:eastAsia="宋体"/>
        </w:rPr>
        <w:t>2.1.1、6.2.1.2条相关规定。</w:t>
      </w:r>
    </w:p>
    <w:p>
      <w:pPr>
        <w:pStyle w:val="19"/>
        <w:numPr>
          <w:ilvl w:val="0"/>
          <w:numId w:val="0"/>
        </w:numPr>
        <w:spacing w:before="146" w:after="146"/>
        <w:ind w:left="420"/>
        <w:rPr>
          <w:rFonts w:ascii="宋体" w:eastAsia="宋体"/>
        </w:rPr>
      </w:pPr>
      <w:r>
        <w:rPr>
          <w:rFonts w:hint="eastAsia" w:ascii="宋体" w:eastAsia="宋体"/>
        </w:rPr>
        <w:t>使用信息符合</w:t>
      </w:r>
      <w:r>
        <w:rPr>
          <w:rFonts w:hint="eastAsia" w:ascii="宋体" w:hAnsi="宋体" w:eastAsia="宋体"/>
        </w:rPr>
        <w:t>GB/T  5668-2017第7.7条的</w:t>
      </w:r>
      <w:r>
        <w:rPr>
          <w:rFonts w:hint="eastAsia" w:ascii="宋体" w:eastAsia="宋体"/>
        </w:rPr>
        <w:t>相关规定。</w:t>
      </w:r>
    </w:p>
    <w:p>
      <w:pPr>
        <w:pStyle w:val="19"/>
        <w:numPr>
          <w:ilvl w:val="0"/>
          <w:numId w:val="0"/>
        </w:numPr>
        <w:spacing w:before="146" w:after="146"/>
        <w:ind w:left="420"/>
        <w:rPr>
          <w:rFonts w:ascii="宋体" w:eastAsia="宋体"/>
        </w:rPr>
      </w:pPr>
      <w:r>
        <w:rPr>
          <w:rFonts w:hint="eastAsia" w:ascii="宋体" w:eastAsia="宋体"/>
        </w:rPr>
        <w:t>机械支撑机构符合</w:t>
      </w:r>
      <w:r>
        <w:rPr>
          <w:rFonts w:ascii="宋体" w:eastAsia="宋体"/>
        </w:rPr>
        <w:t>GB10395.1-2009</w:t>
      </w:r>
      <w:r>
        <w:rPr>
          <w:rFonts w:hint="eastAsia" w:ascii="宋体" w:eastAsia="宋体"/>
        </w:rPr>
        <w:t>第4</w:t>
      </w:r>
      <w:r>
        <w:rPr>
          <w:rFonts w:ascii="宋体" w:eastAsia="宋体"/>
        </w:rPr>
        <w:t>.8.2</w:t>
      </w:r>
      <w:r>
        <w:rPr>
          <w:rFonts w:hint="eastAsia" w:ascii="宋体" w:eastAsia="宋体"/>
        </w:rPr>
        <w:t>条的相关规定。</w:t>
      </w:r>
    </w:p>
    <w:p>
      <w:pPr>
        <w:pStyle w:val="19"/>
        <w:numPr>
          <w:ilvl w:val="0"/>
          <w:numId w:val="0"/>
        </w:numPr>
        <w:spacing w:before="146" w:after="146"/>
        <w:ind w:left="420"/>
        <w:rPr>
          <w:rFonts w:ascii="宋体" w:eastAsia="宋体"/>
        </w:rPr>
      </w:pPr>
      <w:r>
        <w:rPr>
          <w:rFonts w:hint="eastAsia" w:ascii="宋体" w:eastAsia="宋体"/>
        </w:rPr>
        <w:t>扶手和栏杆及梯子符合</w:t>
      </w:r>
      <w:r>
        <w:rPr>
          <w:rFonts w:ascii="宋体" w:eastAsia="宋体"/>
        </w:rPr>
        <w:t>GB10395.1-2009</w:t>
      </w:r>
      <w:r>
        <w:rPr>
          <w:rFonts w:hint="eastAsia" w:ascii="宋体" w:eastAsia="宋体"/>
        </w:rPr>
        <w:t>第4</w:t>
      </w:r>
      <w:r>
        <w:rPr>
          <w:rFonts w:ascii="宋体" w:eastAsia="宋体"/>
        </w:rPr>
        <w:t>.5.1.3</w:t>
      </w:r>
      <w:r>
        <w:rPr>
          <w:rFonts w:hint="eastAsia" w:ascii="宋体" w:eastAsia="宋体"/>
        </w:rPr>
        <w:t>、4.6.2条的相关规定。</w:t>
      </w:r>
    </w:p>
    <w:p>
      <w:pPr>
        <w:pStyle w:val="19"/>
        <w:numPr>
          <w:ilvl w:val="0"/>
          <w:numId w:val="0"/>
        </w:numPr>
        <w:spacing w:before="146" w:after="146"/>
        <w:ind w:left="420"/>
        <w:rPr>
          <w:rFonts w:ascii="宋体" w:eastAsia="宋体"/>
        </w:rPr>
      </w:pPr>
      <w:r>
        <w:rPr>
          <w:rFonts w:hint="eastAsia" w:ascii="宋体" w:eastAsia="宋体"/>
        </w:rPr>
        <w:t>装载台通道符合</w:t>
      </w:r>
      <w:r>
        <w:rPr>
          <w:rFonts w:ascii="宋体" w:eastAsia="宋体"/>
        </w:rPr>
        <w:t>GB10395.</w:t>
      </w:r>
      <w:r>
        <w:rPr>
          <w:rFonts w:hint="eastAsia" w:ascii="宋体" w:eastAsia="宋体"/>
        </w:rPr>
        <w:t>9</w:t>
      </w:r>
      <w:r>
        <w:rPr>
          <w:rFonts w:ascii="宋体" w:eastAsia="宋体"/>
        </w:rPr>
        <w:t>-20</w:t>
      </w:r>
      <w:r>
        <w:rPr>
          <w:rFonts w:hint="eastAsia" w:ascii="宋体" w:eastAsia="宋体"/>
        </w:rPr>
        <w:t>14第4</w:t>
      </w:r>
      <w:r>
        <w:rPr>
          <w:rFonts w:ascii="宋体" w:eastAsia="宋体"/>
        </w:rPr>
        <w:t>.5.</w:t>
      </w:r>
      <w:r>
        <w:rPr>
          <w:rFonts w:hint="eastAsia" w:ascii="宋体" w:eastAsia="宋体"/>
        </w:rPr>
        <w:t>1.3条的相关规定。</w:t>
      </w:r>
    </w:p>
    <w:p>
      <w:pPr>
        <w:pStyle w:val="15"/>
        <w:ind w:firstLine="420"/>
      </w:pPr>
      <w:r>
        <w:rPr>
          <w:rFonts w:hint="eastAsia"/>
        </w:rPr>
        <w:t>安全标志符合GB 10396-</w:t>
      </w:r>
      <w:r>
        <w:t>20</w:t>
      </w:r>
      <w:r>
        <w:rPr>
          <w:rFonts w:hint="eastAsia"/>
        </w:rPr>
        <w:t>06的规定。</w:t>
      </w:r>
    </w:p>
    <w:p>
      <w:pPr>
        <w:pStyle w:val="19"/>
        <w:numPr>
          <w:ilvl w:val="0"/>
          <w:numId w:val="0"/>
        </w:numPr>
        <w:spacing w:before="146" w:after="146"/>
        <w:ind w:left="142"/>
      </w:pPr>
      <w:r>
        <w:rPr>
          <w:rFonts w:hint="eastAsia"/>
        </w:rPr>
        <w:t>5  验证结果</w:t>
      </w:r>
    </w:p>
    <w:p>
      <w:pPr>
        <w:pStyle w:val="19"/>
        <w:numPr>
          <w:ilvl w:val="0"/>
          <w:numId w:val="0"/>
        </w:numPr>
        <w:spacing w:before="146" w:after="146"/>
        <w:ind w:left="420"/>
        <w:rPr>
          <w:rFonts w:ascii="宋体" w:eastAsia="宋体"/>
        </w:rPr>
      </w:pPr>
      <w:r>
        <w:rPr>
          <w:rFonts w:hint="eastAsia" w:ascii="宋体" w:eastAsia="宋体"/>
        </w:rPr>
        <w:t>有资质的验证机构出具安全性检验报告。</w:t>
      </w:r>
    </w:p>
    <w:p>
      <w:pPr>
        <w:pStyle w:val="19"/>
        <w:numPr>
          <w:ilvl w:val="0"/>
          <w:numId w:val="0"/>
        </w:numPr>
        <w:spacing w:before="146" w:after="146"/>
        <w:ind w:firstLine="420" w:firstLineChars="200"/>
        <w:rPr>
          <w:rFonts w:ascii="宋体" w:eastAsia="宋体"/>
        </w:rPr>
      </w:pPr>
      <w:r>
        <w:rPr>
          <w:rFonts w:hint="eastAsia" w:ascii="宋体" w:eastAsia="宋体"/>
        </w:rPr>
        <w:t>验证项目全部满足要求时（不适用的除外），安全性检验报告结论为合格；否则，安全性检验报告结论为不合格。</w:t>
      </w:r>
    </w:p>
    <w:p>
      <w:pPr>
        <w:pStyle w:val="19"/>
        <w:numPr>
          <w:ilvl w:val="0"/>
          <w:numId w:val="0"/>
        </w:numPr>
        <w:spacing w:before="146" w:after="146"/>
        <w:ind w:left="142"/>
      </w:pPr>
      <w:r>
        <w:rPr>
          <w:rFonts w:hint="eastAsia"/>
        </w:rPr>
        <w:t>6  验证机构</w:t>
      </w:r>
    </w:p>
    <w:p>
      <w:pPr>
        <w:ind w:firstLine="424" w:firstLineChars="202"/>
        <w:jc w:val="left"/>
      </w:pPr>
      <w:r>
        <w:rPr>
          <w:rFonts w:hint="eastAsia" w:ascii="宋体"/>
        </w:rPr>
        <w:t>江苏、浙江、安徽、江西、湖北、湖南、重庆、四川、贵州、云南等省的油菜毯状苗联合移栽机安全性验证委托江苏沿海农业机械检测有限公司开展。江苏沿海农业机械检测有限公司要严格按照标准和程序开展验证，出具安全性检验报告。</w:t>
      </w:r>
    </w:p>
    <w:p>
      <w:pPr>
        <w:ind w:left="581" w:leftChars="277" w:right="357"/>
        <w:jc w:val="left"/>
        <w:rPr>
          <w:rFonts w:ascii="宋体" w:hAnsi="宋体"/>
          <w:b/>
          <w:sz w:val="28"/>
        </w:rPr>
      </w:pPr>
    </w:p>
    <w:p>
      <w:pPr>
        <w:ind w:left="581" w:leftChars="277" w:right="917"/>
        <w:jc w:val="right"/>
        <w:rPr>
          <w:rFonts w:hint="eastAsia"/>
          <w:b/>
          <w:i/>
          <w:sz w:val="24"/>
        </w:rPr>
      </w:pPr>
      <w:r>
        <w:rPr>
          <w:rFonts w:ascii="宋体" w:hAnsi="宋体"/>
          <w:b/>
          <w:sz w:val="28"/>
        </w:rPr>
        <w:br w:type="page"/>
      </w:r>
      <w:r>
        <w:rPr>
          <w:rFonts w:hint="eastAsia" w:ascii="宋体" w:hAnsi="宋体"/>
          <w:b/>
          <w:sz w:val="28"/>
        </w:rPr>
        <w:t>№:YH2022WJ07×××</w:t>
      </w:r>
    </w:p>
    <w:p>
      <w:pPr>
        <w:ind w:left="581" w:right="357" w:hanging="264"/>
        <w:jc w:val="left"/>
        <w:rPr>
          <w:rFonts w:hint="eastAsia"/>
          <w:sz w:val="28"/>
          <w:szCs w:val="28"/>
        </w:rPr>
      </w:pPr>
      <w:r>
        <w:rPr>
          <w:rFonts w:hint="eastAsia"/>
          <w:b/>
          <w:i/>
          <w:sz w:val="28"/>
          <w:szCs w:val="28"/>
        </w:rPr>
        <w:t xml:space="preserve">                                     </w:t>
      </w:r>
      <w:r>
        <w:rPr>
          <w:rFonts w:hint="eastAsia"/>
          <w:sz w:val="28"/>
          <w:szCs w:val="28"/>
        </w:rPr>
        <w:t xml:space="preserve">           </w:t>
      </w:r>
    </w:p>
    <w:p>
      <w:pPr>
        <w:ind w:left="581" w:right="357" w:hanging="264"/>
        <w:jc w:val="left"/>
        <w:rPr>
          <w:rFonts w:hint="eastAsia"/>
          <w:sz w:val="28"/>
          <w:szCs w:val="28"/>
        </w:rPr>
      </w:pPr>
    </w:p>
    <w:p>
      <w:pPr>
        <w:adjustRightInd w:val="0"/>
        <w:snapToGrid w:val="0"/>
        <w:jc w:val="center"/>
        <w:rPr>
          <w:rFonts w:hint="eastAsia" w:ascii="宋体" w:hAnsi="宋体"/>
          <w:b/>
          <w:sz w:val="28"/>
          <w:szCs w:val="28"/>
        </w:rPr>
      </w:pPr>
    </w:p>
    <w:p>
      <w:pPr>
        <w:adjustRightInd w:val="0"/>
        <w:snapToGrid w:val="0"/>
        <w:jc w:val="center"/>
        <w:rPr>
          <w:rFonts w:hint="eastAsia" w:ascii="宋体" w:hAnsi="宋体"/>
          <w:b/>
          <w:sz w:val="28"/>
          <w:szCs w:val="28"/>
        </w:rPr>
      </w:pPr>
    </w:p>
    <w:p>
      <w:pPr>
        <w:adjustRightInd w:val="0"/>
        <w:snapToGrid w:val="0"/>
        <w:jc w:val="center"/>
        <w:rPr>
          <w:rFonts w:hint="eastAsia" w:ascii="宋体" w:hAnsi="宋体"/>
          <w:b/>
          <w:sz w:val="28"/>
          <w:szCs w:val="28"/>
        </w:rPr>
      </w:pPr>
    </w:p>
    <w:p>
      <w:pPr>
        <w:adjustRightInd w:val="0"/>
        <w:snapToGrid w:val="0"/>
        <w:rPr>
          <w:rFonts w:hint="eastAsia" w:ascii="宋体" w:hAnsi="宋体"/>
          <w:b/>
          <w:sz w:val="28"/>
        </w:rPr>
      </w:pPr>
    </w:p>
    <w:p>
      <w:pPr>
        <w:adjustRightInd w:val="0"/>
        <w:snapToGrid w:val="0"/>
        <w:rPr>
          <w:rFonts w:hint="eastAsia" w:ascii="宋体" w:hAnsi="宋体"/>
          <w:b/>
          <w:sz w:val="28"/>
        </w:rPr>
      </w:pPr>
    </w:p>
    <w:p>
      <w:pPr>
        <w:adjustRightInd w:val="0"/>
        <w:snapToGrid w:val="0"/>
        <w:rPr>
          <w:rFonts w:hint="eastAsia" w:ascii="宋体" w:hAnsi="宋体"/>
          <w:b/>
          <w:sz w:val="28"/>
          <w:szCs w:val="28"/>
        </w:rPr>
      </w:pPr>
    </w:p>
    <w:p>
      <w:pPr>
        <w:jc w:val="center"/>
        <w:rPr>
          <w:rFonts w:ascii="宋体" w:hAnsi="宋体"/>
          <w:snapToGrid w:val="0"/>
          <w:spacing w:val="-10"/>
          <w:kern w:val="0"/>
          <w:sz w:val="96"/>
        </w:rPr>
      </w:pPr>
      <w:r>
        <w:rPr>
          <w:rFonts w:hint="eastAsia" w:ascii="宋体" w:hAnsi="宋体"/>
          <w:b/>
          <w:sz w:val="96"/>
          <w:szCs w:val="96"/>
        </w:rPr>
        <w:t>检  验  报  告</w:t>
      </w:r>
    </w:p>
    <w:p>
      <w:pPr>
        <w:adjustRightInd w:val="0"/>
        <w:snapToGrid w:val="0"/>
        <w:ind w:right="42" w:rightChars="20"/>
        <w:jc w:val="center"/>
        <w:rPr>
          <w:rFonts w:hint="eastAsia" w:ascii="宋体" w:hAnsi="宋体"/>
          <w:sz w:val="28"/>
          <w:szCs w:val="28"/>
        </w:rPr>
      </w:pPr>
    </w:p>
    <w:p>
      <w:pPr>
        <w:adjustRightInd w:val="0"/>
        <w:snapToGrid w:val="0"/>
        <w:ind w:right="42" w:rightChars="20"/>
        <w:jc w:val="center"/>
        <w:rPr>
          <w:rFonts w:hint="eastAsia" w:ascii="宋体" w:hAnsi="宋体"/>
          <w:sz w:val="28"/>
          <w:szCs w:val="28"/>
        </w:rPr>
      </w:pPr>
    </w:p>
    <w:p>
      <w:pPr>
        <w:adjustRightInd w:val="0"/>
        <w:snapToGrid w:val="0"/>
        <w:ind w:right="42" w:rightChars="20"/>
        <w:jc w:val="center"/>
        <w:rPr>
          <w:rFonts w:hint="eastAsia" w:ascii="宋体" w:hAnsi="宋体"/>
          <w:sz w:val="28"/>
          <w:szCs w:val="28"/>
        </w:rPr>
      </w:pPr>
    </w:p>
    <w:p>
      <w:pPr>
        <w:adjustRightInd w:val="0"/>
        <w:snapToGrid w:val="0"/>
        <w:ind w:right="42" w:rightChars="20"/>
        <w:jc w:val="center"/>
        <w:rPr>
          <w:rFonts w:hint="eastAsia" w:ascii="宋体" w:hAnsi="宋体"/>
          <w:sz w:val="28"/>
          <w:szCs w:val="28"/>
        </w:rPr>
      </w:pPr>
    </w:p>
    <w:p>
      <w:pPr>
        <w:adjustRightInd w:val="0"/>
        <w:snapToGrid w:val="0"/>
        <w:ind w:right="42" w:rightChars="20"/>
        <w:rPr>
          <w:rFonts w:hint="eastAsia" w:ascii="宋体" w:hAnsi="宋体"/>
          <w:sz w:val="28"/>
          <w:szCs w:val="28"/>
        </w:rPr>
      </w:pPr>
    </w:p>
    <w:p>
      <w:pPr>
        <w:adjustRightInd w:val="0"/>
        <w:snapToGrid w:val="0"/>
        <w:ind w:right="42" w:rightChars="20"/>
        <w:jc w:val="center"/>
        <w:rPr>
          <w:rFonts w:hint="eastAsia" w:ascii="宋体" w:hAnsi="宋体"/>
          <w:sz w:val="28"/>
          <w:szCs w:val="28"/>
        </w:rPr>
      </w:pPr>
    </w:p>
    <w:p>
      <w:pPr>
        <w:adjustRightInd w:val="0"/>
        <w:snapToGrid w:val="0"/>
        <w:ind w:right="42" w:rightChars="20"/>
        <w:jc w:val="center"/>
        <w:rPr>
          <w:rFonts w:hint="eastAsia" w:ascii="宋体" w:hAnsi="宋体"/>
          <w:sz w:val="28"/>
          <w:szCs w:val="28"/>
        </w:rPr>
      </w:pPr>
    </w:p>
    <w:tbl>
      <w:tblPr>
        <w:tblStyle w:val="8"/>
        <w:tblW w:w="0" w:type="auto"/>
        <w:tblInd w:w="959" w:type="dxa"/>
        <w:tblLayout w:type="autofit"/>
        <w:tblCellMar>
          <w:top w:w="0" w:type="dxa"/>
          <w:left w:w="108" w:type="dxa"/>
          <w:bottom w:w="0" w:type="dxa"/>
          <w:right w:w="108" w:type="dxa"/>
        </w:tblCellMar>
      </w:tblPr>
      <w:tblGrid>
        <w:gridCol w:w="2142"/>
        <w:gridCol w:w="5664"/>
      </w:tblGrid>
      <w:tr>
        <w:tblPrEx>
          <w:tblCellMar>
            <w:top w:w="0" w:type="dxa"/>
            <w:left w:w="108" w:type="dxa"/>
            <w:bottom w:w="0" w:type="dxa"/>
            <w:right w:w="108" w:type="dxa"/>
          </w:tblCellMar>
        </w:tblPrEx>
        <w:trPr>
          <w:trHeight w:val="680" w:hRule="atLeast"/>
        </w:trPr>
        <w:tc>
          <w:tcPr>
            <w:tcW w:w="2142" w:type="dxa"/>
            <w:vAlign w:val="bottom"/>
          </w:tcPr>
          <w:p>
            <w:pPr>
              <w:adjustRightInd w:val="0"/>
              <w:snapToGrid w:val="0"/>
              <w:ind w:left="317" w:right="50" w:hanging="283"/>
              <w:jc w:val="distribute"/>
              <w:rPr>
                <w:rFonts w:hint="eastAsia" w:ascii="宋体" w:hAnsi="宋体"/>
                <w:b/>
                <w:sz w:val="28"/>
              </w:rPr>
            </w:pPr>
            <w:r>
              <w:rPr>
                <w:rFonts w:hint="eastAsia" w:ascii="宋体" w:hAnsi="宋体"/>
                <w:b/>
                <w:sz w:val="28"/>
              </w:rPr>
              <w:t>产品型号名称</w:t>
            </w:r>
          </w:p>
        </w:tc>
        <w:tc>
          <w:tcPr>
            <w:tcW w:w="5664" w:type="dxa"/>
            <w:tcBorders>
              <w:top w:val="nil"/>
              <w:left w:val="nil"/>
              <w:bottom w:val="single" w:color="auto" w:sz="4" w:space="0"/>
            </w:tcBorders>
            <w:vAlign w:val="bottom"/>
          </w:tcPr>
          <w:p>
            <w:pPr>
              <w:adjustRightInd w:val="0"/>
              <w:snapToGrid w:val="0"/>
              <w:ind w:left="624" w:right="357" w:hanging="306"/>
              <w:jc w:val="center"/>
              <w:rPr>
                <w:rFonts w:hint="eastAsia" w:ascii="宋体" w:hAnsi="宋体"/>
                <w:b/>
                <w:sz w:val="28"/>
              </w:rPr>
            </w:pPr>
          </w:p>
        </w:tc>
      </w:tr>
      <w:tr>
        <w:tblPrEx>
          <w:tblCellMar>
            <w:top w:w="0" w:type="dxa"/>
            <w:left w:w="108" w:type="dxa"/>
            <w:bottom w:w="0" w:type="dxa"/>
            <w:right w:w="108" w:type="dxa"/>
          </w:tblCellMar>
        </w:tblPrEx>
        <w:trPr>
          <w:trHeight w:val="680" w:hRule="atLeast"/>
        </w:trPr>
        <w:tc>
          <w:tcPr>
            <w:tcW w:w="2142" w:type="dxa"/>
            <w:vAlign w:val="bottom"/>
          </w:tcPr>
          <w:p>
            <w:pPr>
              <w:adjustRightInd w:val="0"/>
              <w:snapToGrid w:val="0"/>
              <w:ind w:left="317" w:right="50" w:hanging="283"/>
              <w:jc w:val="distribute"/>
              <w:rPr>
                <w:rFonts w:hint="eastAsia" w:ascii="宋体" w:hAnsi="宋体"/>
                <w:b/>
                <w:sz w:val="28"/>
              </w:rPr>
            </w:pPr>
            <w:r>
              <w:rPr>
                <w:rFonts w:hint="eastAsia" w:ascii="宋体" w:hAnsi="宋体"/>
                <w:b/>
                <w:sz w:val="28"/>
              </w:rPr>
              <w:t>委托单位</w:t>
            </w:r>
          </w:p>
        </w:tc>
        <w:tc>
          <w:tcPr>
            <w:tcW w:w="5664" w:type="dxa"/>
            <w:tcBorders>
              <w:top w:val="single" w:color="auto" w:sz="4" w:space="0"/>
              <w:left w:val="nil"/>
              <w:bottom w:val="single" w:color="auto" w:sz="4" w:space="0"/>
            </w:tcBorders>
            <w:vAlign w:val="bottom"/>
          </w:tcPr>
          <w:p>
            <w:pPr>
              <w:adjustRightInd w:val="0"/>
              <w:snapToGrid w:val="0"/>
              <w:ind w:left="317" w:right="357" w:hanging="283"/>
              <w:jc w:val="center"/>
              <w:rPr>
                <w:rFonts w:hint="eastAsia" w:ascii="宋体" w:hAnsi="宋体"/>
                <w:b/>
                <w:sz w:val="28"/>
              </w:rPr>
            </w:pPr>
            <w:r>
              <w:rPr>
                <w:rFonts w:hint="eastAsia" w:ascii="宋体" w:hAnsi="宋体"/>
                <w:b/>
                <w:sz w:val="28"/>
              </w:rPr>
              <w:t xml:space="preserve">  </w:t>
            </w:r>
          </w:p>
        </w:tc>
      </w:tr>
      <w:tr>
        <w:tblPrEx>
          <w:tblCellMar>
            <w:top w:w="0" w:type="dxa"/>
            <w:left w:w="108" w:type="dxa"/>
            <w:bottom w:w="0" w:type="dxa"/>
            <w:right w:w="108" w:type="dxa"/>
          </w:tblCellMar>
        </w:tblPrEx>
        <w:trPr>
          <w:trHeight w:val="680" w:hRule="atLeast"/>
        </w:trPr>
        <w:tc>
          <w:tcPr>
            <w:tcW w:w="2142" w:type="dxa"/>
            <w:vAlign w:val="bottom"/>
          </w:tcPr>
          <w:p>
            <w:pPr>
              <w:adjustRightInd w:val="0"/>
              <w:snapToGrid w:val="0"/>
              <w:ind w:left="317" w:right="50" w:hanging="283"/>
              <w:jc w:val="distribute"/>
              <w:rPr>
                <w:rFonts w:hint="eastAsia" w:ascii="宋体" w:hAnsi="宋体"/>
                <w:b/>
                <w:sz w:val="28"/>
              </w:rPr>
            </w:pPr>
            <w:r>
              <w:rPr>
                <w:rFonts w:hint="eastAsia" w:ascii="宋体" w:hAnsi="宋体"/>
                <w:b/>
                <w:sz w:val="28"/>
              </w:rPr>
              <w:t>生产单位</w:t>
            </w:r>
          </w:p>
        </w:tc>
        <w:tc>
          <w:tcPr>
            <w:tcW w:w="5664" w:type="dxa"/>
            <w:tcBorders>
              <w:top w:val="single" w:color="auto" w:sz="4" w:space="0"/>
              <w:left w:val="nil"/>
              <w:bottom w:val="single" w:color="auto" w:sz="4" w:space="0"/>
            </w:tcBorders>
            <w:vAlign w:val="bottom"/>
          </w:tcPr>
          <w:p>
            <w:pPr>
              <w:adjustRightInd w:val="0"/>
              <w:snapToGrid w:val="0"/>
              <w:ind w:left="317" w:right="357" w:hanging="283"/>
              <w:jc w:val="center"/>
              <w:rPr>
                <w:rFonts w:hint="eastAsia" w:ascii="宋体" w:hAnsi="宋体"/>
                <w:b/>
                <w:sz w:val="28"/>
              </w:rPr>
            </w:pPr>
            <w:r>
              <w:rPr>
                <w:rFonts w:hint="eastAsia" w:ascii="宋体" w:hAnsi="宋体"/>
                <w:b/>
                <w:sz w:val="28"/>
              </w:rPr>
              <w:t xml:space="preserve">  </w:t>
            </w:r>
          </w:p>
        </w:tc>
      </w:tr>
      <w:tr>
        <w:tblPrEx>
          <w:tblCellMar>
            <w:top w:w="0" w:type="dxa"/>
            <w:left w:w="108" w:type="dxa"/>
            <w:bottom w:w="0" w:type="dxa"/>
            <w:right w:w="108" w:type="dxa"/>
          </w:tblCellMar>
        </w:tblPrEx>
        <w:trPr>
          <w:trHeight w:val="680" w:hRule="atLeast"/>
        </w:trPr>
        <w:tc>
          <w:tcPr>
            <w:tcW w:w="2142" w:type="dxa"/>
            <w:vAlign w:val="bottom"/>
          </w:tcPr>
          <w:p>
            <w:pPr>
              <w:adjustRightInd w:val="0"/>
              <w:snapToGrid w:val="0"/>
              <w:ind w:left="317" w:right="50" w:hanging="283"/>
              <w:jc w:val="distribute"/>
              <w:rPr>
                <w:rFonts w:hint="eastAsia" w:ascii="宋体" w:hAnsi="宋体"/>
                <w:b/>
                <w:sz w:val="28"/>
              </w:rPr>
            </w:pPr>
            <w:r>
              <w:rPr>
                <w:rFonts w:hint="eastAsia" w:ascii="宋体" w:hAnsi="宋体"/>
                <w:b/>
                <w:sz w:val="28"/>
              </w:rPr>
              <w:t>检验类别</w:t>
            </w:r>
          </w:p>
        </w:tc>
        <w:tc>
          <w:tcPr>
            <w:tcW w:w="5664" w:type="dxa"/>
            <w:tcBorders>
              <w:top w:val="single" w:color="auto" w:sz="4" w:space="0"/>
              <w:left w:val="nil"/>
              <w:bottom w:val="single" w:color="auto" w:sz="4" w:space="0"/>
            </w:tcBorders>
            <w:vAlign w:val="bottom"/>
          </w:tcPr>
          <w:p>
            <w:pPr>
              <w:adjustRightInd w:val="0"/>
              <w:snapToGrid w:val="0"/>
              <w:ind w:left="317" w:right="357" w:hanging="283"/>
              <w:jc w:val="center"/>
              <w:rPr>
                <w:rFonts w:hint="eastAsia" w:ascii="宋体" w:hAnsi="宋体"/>
                <w:b/>
                <w:sz w:val="28"/>
              </w:rPr>
            </w:pPr>
            <w:r>
              <w:rPr>
                <w:rFonts w:hint="eastAsia" w:ascii="宋体" w:hAnsi="宋体"/>
                <w:b/>
                <w:sz w:val="28"/>
              </w:rPr>
              <w:t>委托检验</w:t>
            </w:r>
          </w:p>
        </w:tc>
      </w:tr>
    </w:tbl>
    <w:p>
      <w:pPr>
        <w:adjustRightInd w:val="0"/>
        <w:snapToGrid w:val="0"/>
        <w:jc w:val="center"/>
        <w:rPr>
          <w:rFonts w:hint="eastAsia" w:ascii="宋体" w:hAnsi="宋体"/>
          <w:b/>
          <w:sz w:val="28"/>
          <w:szCs w:val="44"/>
        </w:rPr>
      </w:pPr>
    </w:p>
    <w:p>
      <w:pPr>
        <w:adjustRightInd w:val="0"/>
        <w:snapToGrid w:val="0"/>
        <w:jc w:val="center"/>
        <w:rPr>
          <w:rFonts w:hint="eastAsia" w:ascii="宋体" w:hAnsi="宋体"/>
          <w:b/>
          <w:sz w:val="28"/>
          <w:szCs w:val="44"/>
        </w:rPr>
      </w:pPr>
    </w:p>
    <w:p>
      <w:pPr>
        <w:adjustRightInd w:val="0"/>
        <w:snapToGrid w:val="0"/>
        <w:ind w:left="625" w:right="357" w:hanging="308"/>
        <w:jc w:val="center"/>
        <w:rPr>
          <w:rFonts w:hint="eastAsia" w:ascii="宋体" w:hAnsi="宋体"/>
          <w:b/>
          <w:sz w:val="28"/>
          <w:szCs w:val="44"/>
        </w:rPr>
      </w:pPr>
    </w:p>
    <w:p>
      <w:pPr>
        <w:adjustRightInd w:val="0"/>
        <w:snapToGrid w:val="0"/>
        <w:ind w:left="625" w:right="357" w:hanging="308"/>
        <w:jc w:val="center"/>
        <w:rPr>
          <w:rFonts w:hint="eastAsia" w:ascii="宋体" w:hAnsi="宋体"/>
          <w:b/>
          <w:sz w:val="28"/>
          <w:szCs w:val="44"/>
        </w:rPr>
      </w:pPr>
    </w:p>
    <w:p>
      <w:pPr>
        <w:adjustRightInd w:val="0"/>
        <w:snapToGrid w:val="0"/>
        <w:ind w:left="625" w:right="357" w:hanging="308"/>
        <w:jc w:val="center"/>
        <w:rPr>
          <w:rFonts w:hint="eastAsia" w:ascii="宋体" w:hAnsi="宋体"/>
          <w:b/>
          <w:sz w:val="28"/>
          <w:szCs w:val="44"/>
        </w:rPr>
      </w:pPr>
    </w:p>
    <w:p>
      <w:pPr>
        <w:adjustRightInd w:val="0"/>
        <w:snapToGrid w:val="0"/>
        <w:ind w:left="625" w:right="357" w:hanging="308"/>
        <w:jc w:val="center"/>
        <w:rPr>
          <w:rFonts w:hint="eastAsia" w:ascii="宋体" w:hAnsi="宋体"/>
          <w:b/>
          <w:sz w:val="28"/>
          <w:szCs w:val="44"/>
        </w:rPr>
      </w:pPr>
    </w:p>
    <w:p>
      <w:pPr>
        <w:ind w:left="757" w:right="357" w:hanging="440"/>
        <w:jc w:val="center"/>
        <w:rPr>
          <w:rFonts w:hint="eastAsia" w:ascii="宋体" w:hAnsi="宋体"/>
          <w:b/>
          <w:sz w:val="44"/>
          <w:szCs w:val="44"/>
        </w:rPr>
      </w:pPr>
      <w:r>
        <w:rPr>
          <w:rFonts w:hint="eastAsia" w:ascii="宋体" w:hAnsi="宋体" w:cs="Arial"/>
          <w:b/>
          <w:snapToGrid w:val="0"/>
          <w:kern w:val="24"/>
          <w:sz w:val="44"/>
          <w:szCs w:val="44"/>
        </w:rPr>
        <w:t>江苏沿海农业机械检测有限公司</w:t>
      </w:r>
    </w:p>
    <w:p>
      <w:pPr>
        <w:ind w:left="525" w:leftChars="250"/>
        <w:rPr>
          <w:rFonts w:ascii="宋体" w:hAnsi="宋体"/>
          <w:sz w:val="28"/>
        </w:rPr>
        <w:sectPr>
          <w:headerReference r:id="rId3" w:type="default"/>
          <w:pgSz w:w="11907" w:h="16840"/>
          <w:pgMar w:top="1440" w:right="1247" w:bottom="1440" w:left="1418" w:header="1021" w:footer="0" w:gutter="0"/>
          <w:pgNumType w:start="1"/>
          <w:cols w:space="425" w:num="1"/>
          <w:docGrid w:type="linesAndChars" w:linePitch="292" w:charSpace="0"/>
        </w:sectPr>
      </w:pPr>
    </w:p>
    <w:p>
      <w:pPr>
        <w:ind w:right="42" w:rightChars="20"/>
        <w:jc w:val="center"/>
        <w:rPr>
          <w:rFonts w:hint="eastAsia" w:ascii="宋体" w:hAnsi="宋体"/>
          <w:b/>
          <w:sz w:val="36"/>
        </w:rPr>
      </w:pPr>
    </w:p>
    <w:p>
      <w:pPr>
        <w:ind w:right="42" w:rightChars="20"/>
        <w:jc w:val="center"/>
        <w:rPr>
          <w:rFonts w:hint="eastAsia" w:ascii="宋体" w:hAnsi="宋体"/>
          <w:b/>
          <w:sz w:val="48"/>
        </w:rPr>
      </w:pPr>
      <w:r>
        <w:rPr>
          <w:rFonts w:hint="eastAsia" w:ascii="宋体" w:hAnsi="宋体"/>
          <w:b/>
          <w:sz w:val="36"/>
        </w:rPr>
        <w:t xml:space="preserve">注  </w:t>
      </w:r>
      <w:r>
        <w:rPr>
          <w:rFonts w:ascii="宋体" w:hAnsi="宋体"/>
          <w:b/>
          <w:sz w:val="36"/>
        </w:rPr>
        <w:t xml:space="preserve">  </w:t>
      </w:r>
      <w:r>
        <w:rPr>
          <w:rFonts w:hint="eastAsia" w:ascii="宋体" w:hAnsi="宋体"/>
          <w:b/>
          <w:sz w:val="36"/>
        </w:rPr>
        <w:t xml:space="preserve">意 </w:t>
      </w:r>
      <w:r>
        <w:rPr>
          <w:rFonts w:ascii="宋体" w:hAnsi="宋体"/>
          <w:b/>
          <w:sz w:val="36"/>
        </w:rPr>
        <w:t xml:space="preserve"> </w:t>
      </w:r>
      <w:r>
        <w:rPr>
          <w:rFonts w:hint="eastAsia" w:ascii="宋体" w:hAnsi="宋体"/>
          <w:b/>
          <w:sz w:val="36"/>
        </w:rPr>
        <w:t xml:space="preserve">  事 </w:t>
      </w:r>
      <w:r>
        <w:rPr>
          <w:rFonts w:ascii="宋体" w:hAnsi="宋体"/>
          <w:b/>
          <w:sz w:val="36"/>
        </w:rPr>
        <w:t xml:space="preserve"> </w:t>
      </w:r>
      <w:r>
        <w:rPr>
          <w:rFonts w:hint="eastAsia" w:ascii="宋体" w:hAnsi="宋体"/>
          <w:b/>
          <w:sz w:val="36"/>
        </w:rPr>
        <w:t xml:space="preserve">  项</w:t>
      </w:r>
    </w:p>
    <w:p>
      <w:pPr>
        <w:spacing w:line="516" w:lineRule="auto"/>
        <w:ind w:left="2" w:leftChars="1" w:right="848" w:rightChars="404" w:firstLine="840" w:firstLineChars="296"/>
        <w:rPr>
          <w:rFonts w:hint="eastAsia" w:ascii="宋体" w:hAnsi="宋体"/>
          <w:spacing w:val="2"/>
          <w:sz w:val="28"/>
        </w:rPr>
      </w:pPr>
      <w:r>
        <w:rPr>
          <w:rFonts w:hint="eastAsia" w:ascii="宋体" w:hAnsi="宋体"/>
          <w:spacing w:val="2"/>
          <w:sz w:val="28"/>
        </w:rPr>
        <w:t>1</w:t>
      </w:r>
      <w:r>
        <w:rPr>
          <w:rFonts w:ascii="宋体" w:hAnsi="宋体"/>
          <w:spacing w:val="2"/>
          <w:sz w:val="28"/>
        </w:rPr>
        <w:t>.</w:t>
      </w:r>
      <w:r>
        <w:rPr>
          <w:rFonts w:hint="eastAsia" w:ascii="宋体" w:hAnsi="宋体"/>
          <w:spacing w:val="2"/>
          <w:sz w:val="28"/>
        </w:rPr>
        <w:t>报告无“检验检测专用章”或检验单位公章无效。</w:t>
      </w:r>
    </w:p>
    <w:p>
      <w:pPr>
        <w:spacing w:line="516" w:lineRule="auto"/>
        <w:ind w:left="1015" w:leftChars="201" w:right="848" w:rightChars="404" w:hanging="593" w:hangingChars="209"/>
        <w:rPr>
          <w:rFonts w:hint="eastAsia" w:ascii="宋体" w:hAnsi="宋体"/>
          <w:spacing w:val="2"/>
          <w:sz w:val="28"/>
        </w:rPr>
      </w:pPr>
      <w:r>
        <w:rPr>
          <w:rFonts w:hint="eastAsia" w:ascii="宋体" w:hAnsi="宋体"/>
          <w:spacing w:val="2"/>
          <w:sz w:val="28"/>
        </w:rPr>
        <w:t xml:space="preserve">   2</w:t>
      </w:r>
      <w:r>
        <w:rPr>
          <w:rFonts w:ascii="宋体" w:hAnsi="宋体"/>
          <w:spacing w:val="2"/>
          <w:sz w:val="28"/>
        </w:rPr>
        <w:t>.</w:t>
      </w:r>
      <w:r>
        <w:rPr>
          <w:rFonts w:hint="eastAsia" w:ascii="宋体" w:hAnsi="宋体"/>
          <w:spacing w:val="2"/>
          <w:sz w:val="28"/>
        </w:rPr>
        <w:t>未经本单位书面批准，不得复制报告（完整复制除外）；复制报告未重新加盖检验检测专用章、检验单位公章和骑缝章无效。</w:t>
      </w:r>
    </w:p>
    <w:p>
      <w:pPr>
        <w:spacing w:line="516" w:lineRule="auto"/>
        <w:ind w:left="734" w:leftChars="201" w:right="848" w:rightChars="404" w:hanging="312" w:hangingChars="110"/>
        <w:rPr>
          <w:rFonts w:hint="eastAsia" w:ascii="宋体" w:hAnsi="宋体"/>
          <w:spacing w:val="2"/>
          <w:sz w:val="28"/>
        </w:rPr>
      </w:pPr>
      <w:r>
        <w:rPr>
          <w:rFonts w:hint="eastAsia" w:ascii="宋体" w:hAnsi="宋体"/>
          <w:spacing w:val="2"/>
          <w:sz w:val="28"/>
        </w:rPr>
        <w:t xml:space="preserve">   3.</w:t>
      </w:r>
      <w:r>
        <w:rPr>
          <w:rFonts w:hint="eastAsia"/>
        </w:rPr>
        <w:t xml:space="preserve"> </w:t>
      </w:r>
      <w:r>
        <w:rPr>
          <w:rFonts w:hint="eastAsia" w:ascii="宋体" w:hAnsi="宋体"/>
          <w:spacing w:val="2"/>
          <w:sz w:val="28"/>
        </w:rPr>
        <w:t>报告无编制、审核、批准人签名无效。</w:t>
      </w:r>
    </w:p>
    <w:p>
      <w:pPr>
        <w:spacing w:line="516" w:lineRule="auto"/>
        <w:ind w:left="706" w:leftChars="326" w:right="848" w:rightChars="404" w:hanging="22" w:hangingChars="8"/>
        <w:rPr>
          <w:rFonts w:hint="eastAsia" w:ascii="宋体" w:hAnsi="宋体"/>
          <w:spacing w:val="2"/>
          <w:sz w:val="28"/>
        </w:rPr>
      </w:pPr>
      <w:r>
        <w:rPr>
          <w:rFonts w:hint="eastAsia" w:ascii="宋体" w:hAnsi="宋体"/>
          <w:spacing w:val="2"/>
          <w:sz w:val="28"/>
        </w:rPr>
        <w:t xml:space="preserve"> 4.报告涂改无效。</w:t>
      </w:r>
    </w:p>
    <w:p>
      <w:pPr>
        <w:spacing w:line="516" w:lineRule="auto"/>
        <w:ind w:left="1123" w:leftChars="338" w:right="848" w:rightChars="404" w:hanging="414" w:hangingChars="146"/>
        <w:rPr>
          <w:rFonts w:hint="eastAsia" w:ascii="宋体" w:hAnsi="宋体"/>
          <w:spacing w:val="2"/>
          <w:sz w:val="28"/>
        </w:rPr>
      </w:pPr>
      <w:r>
        <w:rPr>
          <w:rFonts w:hint="eastAsia" w:ascii="宋体" w:hAnsi="宋体"/>
          <w:spacing w:val="2"/>
          <w:sz w:val="28"/>
        </w:rPr>
        <w:t xml:space="preserve"> 5.若对检验报告有异议，应于收到检验报告之日起</w:t>
      </w:r>
      <w:r>
        <w:rPr>
          <w:rFonts w:ascii="宋体" w:hAnsi="宋体"/>
          <w:spacing w:val="2"/>
          <w:sz w:val="28"/>
        </w:rPr>
        <w:t>15</w:t>
      </w:r>
      <w:r>
        <w:rPr>
          <w:rFonts w:hint="eastAsia" w:ascii="宋体" w:hAnsi="宋体"/>
          <w:spacing w:val="2"/>
          <w:sz w:val="28"/>
        </w:rPr>
        <w:t>个工作日内向检验单位提出，逾期不予受理。</w:t>
      </w:r>
    </w:p>
    <w:p>
      <w:pPr>
        <w:ind w:firstLine="426" w:firstLineChars="150"/>
        <w:rPr>
          <w:rFonts w:hint="eastAsia" w:ascii="宋体" w:hAnsi="宋体"/>
          <w:b/>
          <w:sz w:val="32"/>
        </w:rPr>
      </w:pPr>
      <w:r>
        <w:rPr>
          <w:rFonts w:hint="eastAsia" w:ascii="宋体" w:hAnsi="宋体"/>
          <w:spacing w:val="2"/>
          <w:sz w:val="28"/>
        </w:rPr>
        <w:t xml:space="preserve">   6</w:t>
      </w:r>
      <w:r>
        <w:rPr>
          <w:rFonts w:ascii="宋体" w:hAnsi="宋体"/>
          <w:spacing w:val="2"/>
          <w:sz w:val="28"/>
        </w:rPr>
        <w:t>.</w:t>
      </w:r>
      <w:r>
        <w:rPr>
          <w:rFonts w:hint="eastAsia" w:ascii="宋体" w:hAnsi="宋体"/>
          <w:sz w:val="28"/>
          <w:szCs w:val="28"/>
        </w:rPr>
        <w:t>本次检测结果，仅与被检样品有关。</w:t>
      </w:r>
    </w:p>
    <w:p>
      <w:pPr>
        <w:spacing w:line="516" w:lineRule="auto"/>
        <w:ind w:left="420" w:right="848" w:rightChars="404"/>
        <w:rPr>
          <w:rFonts w:ascii="宋体" w:hAnsi="宋体"/>
          <w:sz w:val="28"/>
        </w:rPr>
      </w:pPr>
      <w:r>
        <w:rPr>
          <w:rFonts w:hint="eastAsia" w:ascii="宋体" w:hAnsi="宋体"/>
          <w:spacing w:val="2"/>
          <w:sz w:val="28"/>
        </w:rPr>
        <w:t xml:space="preserve">  </w:t>
      </w:r>
    </w:p>
    <w:p>
      <w:pPr>
        <w:rPr>
          <w:rFonts w:hint="eastAsia" w:ascii="宋体" w:hAnsi="宋体"/>
          <w:sz w:val="28"/>
        </w:rPr>
      </w:pPr>
      <w:r>
        <w:rPr>
          <w:rFonts w:hint="eastAsia" w:ascii="宋体" w:hAnsi="宋体"/>
          <w:sz w:val="28"/>
        </w:rPr>
        <w:t xml:space="preserve">    </w:t>
      </w:r>
    </w:p>
    <w:p>
      <w:pPr>
        <w:ind w:left="525" w:leftChars="250"/>
        <w:rPr>
          <w:rFonts w:hint="eastAsia" w:ascii="宋体" w:hAnsi="宋体"/>
          <w:sz w:val="28"/>
        </w:rPr>
      </w:pPr>
    </w:p>
    <w:p>
      <w:pPr>
        <w:ind w:left="525" w:leftChars="250"/>
        <w:rPr>
          <w:rFonts w:hint="eastAsia" w:ascii="宋体" w:hAnsi="宋体"/>
          <w:sz w:val="28"/>
        </w:rPr>
      </w:pPr>
    </w:p>
    <w:p>
      <w:pPr>
        <w:ind w:left="525" w:leftChars="250"/>
        <w:rPr>
          <w:rFonts w:hint="eastAsia" w:ascii="宋体" w:hAnsi="宋体"/>
          <w:sz w:val="28"/>
        </w:rPr>
      </w:pPr>
    </w:p>
    <w:p>
      <w:pPr>
        <w:ind w:left="525" w:leftChars="250"/>
        <w:rPr>
          <w:rFonts w:hint="eastAsia" w:ascii="宋体" w:hAnsi="宋体"/>
          <w:sz w:val="28"/>
        </w:rPr>
      </w:pPr>
    </w:p>
    <w:p>
      <w:pPr>
        <w:spacing w:line="560" w:lineRule="exact"/>
        <w:ind w:firstLine="570"/>
        <w:rPr>
          <w:rFonts w:ascii="宋体" w:hAnsi="宋体"/>
          <w:sz w:val="28"/>
        </w:rPr>
      </w:pPr>
      <w:r>
        <w:rPr>
          <w:rFonts w:hint="eastAsia" w:ascii="宋体" w:hAnsi="宋体"/>
          <w:sz w:val="28"/>
        </w:rPr>
        <w:t>地    址：盐城经济技术开发区嫩江路9号10幢（J）</w:t>
      </w:r>
    </w:p>
    <w:p>
      <w:pPr>
        <w:spacing w:line="560" w:lineRule="exact"/>
        <w:ind w:firstLine="570"/>
        <w:rPr>
          <w:rFonts w:ascii="宋体" w:hAnsi="宋体"/>
          <w:sz w:val="28"/>
        </w:rPr>
      </w:pPr>
      <w:r>
        <w:rPr>
          <w:rFonts w:hint="eastAsia" w:ascii="宋体" w:hAnsi="宋体"/>
          <w:sz w:val="28"/>
        </w:rPr>
        <w:t>邮政编码：224007</w:t>
      </w:r>
    </w:p>
    <w:p>
      <w:pPr>
        <w:spacing w:line="560" w:lineRule="exact"/>
        <w:ind w:firstLine="570"/>
        <w:rPr>
          <w:rFonts w:ascii="宋体" w:hAnsi="宋体"/>
          <w:sz w:val="28"/>
        </w:rPr>
      </w:pPr>
      <w:r>
        <w:rPr>
          <w:rFonts w:hint="eastAsia" w:ascii="宋体" w:hAnsi="宋体"/>
          <w:sz w:val="28"/>
        </w:rPr>
        <w:t>电    话：0515-68810886</w:t>
      </w:r>
    </w:p>
    <w:p>
      <w:pPr>
        <w:spacing w:line="560" w:lineRule="exact"/>
        <w:ind w:firstLine="570"/>
        <w:rPr>
          <w:rFonts w:ascii="宋体" w:hAnsi="宋体"/>
          <w:sz w:val="28"/>
        </w:rPr>
      </w:pPr>
      <w:r>
        <w:rPr>
          <w:rFonts w:hint="eastAsia" w:ascii="宋体" w:hAnsi="宋体"/>
          <w:sz w:val="28"/>
        </w:rPr>
        <w:t>传    真：0515-88230030</w:t>
      </w:r>
    </w:p>
    <w:p>
      <w:pPr>
        <w:ind w:left="525" w:leftChars="250"/>
        <w:rPr>
          <w:rFonts w:hint="eastAsia" w:ascii="宋体" w:hAnsi="宋体"/>
          <w:sz w:val="28"/>
        </w:rPr>
      </w:pPr>
      <w:r>
        <w:rPr>
          <w:rFonts w:hint="eastAsia" w:ascii="宋体" w:hAnsi="宋体"/>
          <w:sz w:val="28"/>
        </w:rPr>
        <w:t>电子信箱：JSYHNJJC@163.com</w:t>
      </w:r>
    </w:p>
    <w:p>
      <w:pPr>
        <w:ind w:left="525" w:leftChars="250"/>
        <w:rPr>
          <w:rFonts w:hint="eastAsia" w:ascii="宋体" w:hAnsi="宋体"/>
          <w:sz w:val="28"/>
        </w:rPr>
      </w:pPr>
    </w:p>
    <w:p>
      <w:pPr>
        <w:rPr>
          <w:rFonts w:hint="eastAsia" w:ascii="宋体" w:hAnsi="宋体"/>
          <w:sz w:val="28"/>
        </w:rPr>
      </w:pPr>
    </w:p>
    <w:p>
      <w:pPr>
        <w:jc w:val="center"/>
        <w:rPr>
          <w:rFonts w:hint="eastAsia" w:ascii="宋体" w:hAnsi="宋体"/>
          <w:bCs/>
          <w:sz w:val="24"/>
          <w:szCs w:val="28"/>
        </w:rPr>
      </w:pPr>
    </w:p>
    <w:p>
      <w:pPr>
        <w:jc w:val="center"/>
        <w:rPr>
          <w:rFonts w:hint="eastAsia" w:ascii="宋体" w:hAnsi="宋体"/>
          <w:bCs/>
          <w:sz w:val="24"/>
          <w:szCs w:val="28"/>
        </w:rPr>
      </w:pPr>
    </w:p>
    <w:p>
      <w:pPr>
        <w:jc w:val="center"/>
        <w:rPr>
          <w:rFonts w:hint="eastAsia" w:ascii="宋体" w:hAnsi="宋体"/>
          <w:bCs/>
          <w:sz w:val="24"/>
          <w:szCs w:val="28"/>
        </w:rPr>
      </w:pPr>
    </w:p>
    <w:p>
      <w:pPr>
        <w:jc w:val="center"/>
        <w:rPr>
          <w:rFonts w:hint="eastAsia" w:ascii="宋体" w:hAnsi="宋体"/>
          <w:bCs/>
          <w:sz w:val="24"/>
          <w:szCs w:val="28"/>
        </w:rPr>
      </w:pPr>
      <w:r>
        <w:rPr>
          <w:rFonts w:hint="eastAsia" w:ascii="宋体" w:hAnsi="宋体"/>
          <w:bCs/>
          <w:sz w:val="24"/>
          <w:szCs w:val="28"/>
        </w:rPr>
        <w:t>样机照片</w:t>
      </w:r>
    </w:p>
    <w:p>
      <w:pPr>
        <w:jc w:val="center"/>
        <w:rPr>
          <w:rFonts w:hint="eastAsia" w:ascii="宋体" w:hAnsi="宋体"/>
          <w:bCs/>
          <w:sz w:val="24"/>
          <w:szCs w:val="28"/>
        </w:rPr>
      </w:pPr>
    </w:p>
    <w:p>
      <w:pPr>
        <w:jc w:val="center"/>
        <w:rPr>
          <w:rFonts w:hint="eastAsia" w:ascii="宋体" w:hAnsi="宋体"/>
          <w:bCs/>
          <w:sz w:val="24"/>
          <w:szCs w:val="28"/>
        </w:rPr>
      </w:pPr>
    </w:p>
    <w:p>
      <w:pPr>
        <w:jc w:val="center"/>
        <w:rPr>
          <w:rFonts w:hint="eastAsia" w:ascii="宋体" w:hAnsi="宋体"/>
          <w:bCs/>
          <w:sz w:val="24"/>
          <w:szCs w:val="28"/>
        </w:rPr>
      </w:pPr>
    </w:p>
    <w:p>
      <w:pPr>
        <w:jc w:val="center"/>
        <w:rPr>
          <w:rFonts w:hint="eastAsia" w:ascii="宋体" w:hAnsi="宋体"/>
          <w:bCs/>
          <w:sz w:val="24"/>
          <w:szCs w:val="28"/>
        </w:rPr>
      </w:pPr>
    </w:p>
    <w:p>
      <w:pPr>
        <w:jc w:val="center"/>
        <w:rPr>
          <w:rFonts w:hint="eastAsia" w:ascii="宋体" w:hAnsi="宋体"/>
          <w:bCs/>
          <w:sz w:val="24"/>
          <w:szCs w:val="28"/>
        </w:rPr>
      </w:pPr>
    </w:p>
    <w:p>
      <w:pPr>
        <w:jc w:val="center"/>
        <w:rPr>
          <w:rFonts w:hint="eastAsia" w:ascii="宋体" w:hAnsi="宋体"/>
          <w:bCs/>
          <w:sz w:val="24"/>
          <w:szCs w:val="28"/>
        </w:rPr>
      </w:pPr>
    </w:p>
    <w:p>
      <w:pPr>
        <w:jc w:val="center"/>
        <w:rPr>
          <w:rFonts w:hint="eastAsia" w:ascii="宋体" w:hAnsi="宋体"/>
          <w:sz w:val="24"/>
          <w:szCs w:val="24"/>
        </w:rPr>
      </w:pPr>
      <w:r>
        <w:rPr>
          <w:rFonts w:hint="eastAsia" w:ascii="宋体" w:hAnsi="宋体"/>
          <w:sz w:val="24"/>
          <w:szCs w:val="24"/>
        </w:rPr>
        <w:t>××××××型×××××××移栽机</w:t>
      </w:r>
    </w:p>
    <w:p>
      <w:pPr>
        <w:rPr>
          <w:rFonts w:hint="eastAsia" w:ascii="宋体" w:hAnsi="宋体"/>
          <w:sz w:val="28"/>
        </w:rPr>
      </w:pPr>
    </w:p>
    <w:p>
      <w:pPr>
        <w:rPr>
          <w:rFonts w:hint="eastAsia" w:ascii="宋体" w:hAnsi="宋体"/>
          <w:sz w:val="28"/>
        </w:rPr>
      </w:pPr>
    </w:p>
    <w:p>
      <w:pPr>
        <w:rPr>
          <w:rFonts w:hint="eastAsia" w:ascii="宋体" w:hAnsi="宋体"/>
          <w:sz w:val="28"/>
        </w:rPr>
      </w:pPr>
    </w:p>
    <w:p>
      <w:pPr>
        <w:rPr>
          <w:rFonts w:hint="eastAsia" w:ascii="宋体" w:hAnsi="宋体"/>
          <w:sz w:val="28"/>
        </w:rPr>
      </w:pPr>
    </w:p>
    <w:p>
      <w:pPr>
        <w:rPr>
          <w:rFonts w:hint="eastAsia" w:ascii="宋体" w:hAnsi="宋体"/>
          <w:sz w:val="28"/>
        </w:rPr>
      </w:pPr>
    </w:p>
    <w:p>
      <w:pPr>
        <w:spacing w:line="360" w:lineRule="auto"/>
        <w:ind w:firstLine="420" w:firstLineChars="150"/>
        <w:jc w:val="left"/>
        <w:rPr>
          <w:rFonts w:ascii="宋体" w:hAnsi="宋体"/>
          <w:sz w:val="28"/>
          <w:szCs w:val="28"/>
        </w:rPr>
      </w:pPr>
      <w:r>
        <w:rPr>
          <w:rFonts w:hint="eastAsia" w:ascii="宋体" w:hAnsi="宋体"/>
          <w:color w:val="000000"/>
          <w:sz w:val="28"/>
          <w:szCs w:val="28"/>
        </w:rPr>
        <w:t>生</w:t>
      </w:r>
      <w:r>
        <w:rPr>
          <w:rFonts w:hint="eastAsia" w:ascii="宋体" w:hAnsi="宋体"/>
          <w:sz w:val="28"/>
          <w:szCs w:val="28"/>
        </w:rPr>
        <w:t>产单位：</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地    址：</w:t>
      </w:r>
      <w:r>
        <w:rPr>
          <w:rFonts w:ascii="宋体" w:hAnsi="宋体"/>
          <w:color w:val="000000"/>
          <w:sz w:val="28"/>
          <w:szCs w:val="28"/>
        </w:rPr>
        <w:t xml:space="preserve"> </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邮政编码：</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电    话：</w:t>
      </w:r>
    </w:p>
    <w:p>
      <w:pPr>
        <w:spacing w:line="360" w:lineRule="auto"/>
        <w:ind w:firstLine="420" w:firstLineChars="150"/>
        <w:jc w:val="left"/>
        <w:rPr>
          <w:rFonts w:hint="eastAsia" w:ascii="宋体" w:hAnsi="宋体"/>
          <w:color w:val="000000"/>
          <w:sz w:val="28"/>
          <w:szCs w:val="28"/>
        </w:rPr>
      </w:pPr>
      <w:r>
        <w:rPr>
          <w:rFonts w:hint="eastAsia" w:ascii="宋体" w:hAnsi="宋体"/>
          <w:color w:val="000000"/>
          <w:sz w:val="28"/>
          <w:szCs w:val="28"/>
        </w:rPr>
        <w:t>传    真：</w:t>
      </w:r>
    </w:p>
    <w:p>
      <w:pPr>
        <w:spacing w:line="360" w:lineRule="auto"/>
        <w:ind w:firstLine="420" w:firstLineChars="150"/>
        <w:jc w:val="left"/>
        <w:rPr>
          <w:rFonts w:ascii="宋体" w:hAnsi="宋体"/>
          <w:sz w:val="28"/>
        </w:rPr>
      </w:pPr>
      <w:r>
        <w:rPr>
          <w:rFonts w:hint="eastAsia" w:ascii="宋体" w:hAnsi="宋体"/>
          <w:color w:val="000000"/>
          <w:sz w:val="28"/>
          <w:szCs w:val="28"/>
        </w:rPr>
        <w:t>联 系 人：</w:t>
      </w:r>
      <w:r>
        <w:rPr>
          <w:rFonts w:ascii="宋体" w:hAnsi="宋体"/>
          <w:sz w:val="28"/>
        </w:rPr>
        <w:t xml:space="preserve"> </w:t>
      </w:r>
    </w:p>
    <w:p>
      <w:pPr>
        <w:adjustRightInd w:val="0"/>
        <w:snapToGrid w:val="0"/>
        <w:jc w:val="left"/>
        <w:rPr>
          <w:rFonts w:hint="eastAsia" w:ascii="宋体" w:hAnsi="宋体"/>
          <w:sz w:val="24"/>
          <w:szCs w:val="24"/>
        </w:rPr>
      </w:pPr>
    </w:p>
    <w:tbl>
      <w:tblPr>
        <w:tblStyle w:val="8"/>
        <w:tblpPr w:leftFromText="180" w:rightFromText="180" w:vertAnchor="page" w:horzAnchor="margin" w:tblpX="108" w:tblpY="1996"/>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3772"/>
        <w:gridCol w:w="1275"/>
        <w:gridCol w:w="28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hint="eastAsia" w:ascii="宋体" w:hAnsi="宋体"/>
                <w:sz w:val="24"/>
                <w:szCs w:val="24"/>
              </w:rPr>
            </w:pPr>
            <w:r>
              <w:rPr>
                <w:rFonts w:hint="eastAsia" w:ascii="宋体" w:hAnsi="宋体"/>
                <w:sz w:val="24"/>
                <w:szCs w:val="24"/>
              </w:rPr>
              <w:t>产品名称</w:t>
            </w:r>
          </w:p>
        </w:tc>
        <w:tc>
          <w:tcPr>
            <w:tcW w:w="3772" w:type="dxa"/>
            <w:vAlign w:val="center"/>
          </w:tcPr>
          <w:p>
            <w:pPr>
              <w:spacing w:beforeLines="50"/>
              <w:ind w:left="71" w:leftChars="34" w:firstLine="1"/>
              <w:jc w:val="center"/>
              <w:rPr>
                <w:rFonts w:ascii="宋体" w:hAnsi="宋体"/>
                <w:sz w:val="24"/>
                <w:szCs w:val="24"/>
              </w:rPr>
            </w:pPr>
          </w:p>
        </w:tc>
        <w:tc>
          <w:tcPr>
            <w:tcW w:w="1275" w:type="dxa"/>
            <w:vAlign w:val="center"/>
          </w:tcPr>
          <w:p>
            <w:pPr>
              <w:spacing w:beforeLines="50"/>
              <w:ind w:left="71" w:leftChars="34" w:firstLine="1"/>
              <w:jc w:val="center"/>
              <w:rPr>
                <w:rFonts w:hint="eastAsia" w:ascii="宋体" w:hAnsi="宋体"/>
                <w:sz w:val="24"/>
                <w:szCs w:val="24"/>
              </w:rPr>
            </w:pPr>
            <w:r>
              <w:rPr>
                <w:rFonts w:hint="eastAsia" w:ascii="宋体" w:hAnsi="宋体"/>
                <w:sz w:val="24"/>
                <w:szCs w:val="24"/>
              </w:rPr>
              <w:t>型号规格</w:t>
            </w:r>
          </w:p>
        </w:tc>
        <w:tc>
          <w:tcPr>
            <w:tcW w:w="2802" w:type="dxa"/>
            <w:vAlign w:val="center"/>
          </w:tcPr>
          <w:p>
            <w:pPr>
              <w:spacing w:beforeLines="5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shd w:val="clear" w:color="auto" w:fill="auto"/>
            <w:vAlign w:val="center"/>
          </w:tcPr>
          <w:p>
            <w:pPr>
              <w:spacing w:beforeLines="50"/>
              <w:jc w:val="center"/>
              <w:rPr>
                <w:rFonts w:hint="eastAsia" w:ascii="宋体" w:hAnsi="宋体"/>
                <w:sz w:val="24"/>
                <w:szCs w:val="24"/>
              </w:rPr>
            </w:pPr>
            <w:r>
              <w:rPr>
                <w:rFonts w:hint="eastAsia" w:ascii="宋体" w:hAnsi="宋体"/>
                <w:sz w:val="24"/>
                <w:szCs w:val="24"/>
              </w:rPr>
              <w:t>委托单位</w:t>
            </w:r>
          </w:p>
        </w:tc>
        <w:tc>
          <w:tcPr>
            <w:tcW w:w="3772" w:type="dxa"/>
            <w:shd w:val="clear" w:color="auto" w:fill="auto"/>
            <w:vAlign w:val="center"/>
          </w:tcPr>
          <w:p>
            <w:pPr>
              <w:pStyle w:val="37"/>
              <w:widowControl w:val="0"/>
              <w:spacing w:beforeLines="50" w:line="240" w:lineRule="auto"/>
              <w:rPr>
                <w:rFonts w:hint="eastAsia" w:hAnsi="宋体"/>
                <w:kern w:val="2"/>
                <w:szCs w:val="24"/>
              </w:rPr>
            </w:pPr>
          </w:p>
        </w:tc>
        <w:tc>
          <w:tcPr>
            <w:tcW w:w="1275" w:type="dxa"/>
            <w:vAlign w:val="center"/>
          </w:tcPr>
          <w:p>
            <w:pPr>
              <w:spacing w:beforeLines="50"/>
              <w:jc w:val="center"/>
              <w:rPr>
                <w:rFonts w:hint="eastAsia" w:ascii="宋体" w:hAnsi="宋体"/>
                <w:sz w:val="24"/>
                <w:szCs w:val="24"/>
              </w:rPr>
            </w:pPr>
            <w:r>
              <w:rPr>
                <w:rFonts w:hint="eastAsia" w:ascii="宋体" w:hAnsi="宋体"/>
                <w:sz w:val="24"/>
                <w:szCs w:val="24"/>
              </w:rPr>
              <w:t>检测类别</w:t>
            </w:r>
          </w:p>
        </w:tc>
        <w:tc>
          <w:tcPr>
            <w:tcW w:w="2802" w:type="dxa"/>
            <w:vAlign w:val="center"/>
          </w:tcPr>
          <w:p>
            <w:pPr>
              <w:spacing w:beforeLines="5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shd w:val="clear" w:color="auto" w:fill="auto"/>
            <w:vAlign w:val="center"/>
          </w:tcPr>
          <w:p>
            <w:pPr>
              <w:spacing w:beforeLines="50"/>
              <w:jc w:val="center"/>
              <w:rPr>
                <w:rFonts w:hint="eastAsia" w:ascii="宋体" w:hAnsi="宋体"/>
                <w:sz w:val="24"/>
                <w:szCs w:val="24"/>
              </w:rPr>
            </w:pPr>
            <w:r>
              <w:rPr>
                <w:rFonts w:hint="eastAsia" w:ascii="宋体" w:hAnsi="宋体"/>
                <w:sz w:val="24"/>
                <w:szCs w:val="24"/>
              </w:rPr>
              <w:t>生产单位</w:t>
            </w:r>
          </w:p>
        </w:tc>
        <w:tc>
          <w:tcPr>
            <w:tcW w:w="3772" w:type="dxa"/>
            <w:shd w:val="clear" w:color="auto" w:fill="auto"/>
            <w:vAlign w:val="center"/>
          </w:tcPr>
          <w:p>
            <w:pPr>
              <w:pStyle w:val="37"/>
              <w:widowControl w:val="0"/>
              <w:spacing w:beforeLines="50" w:line="240" w:lineRule="auto"/>
              <w:rPr>
                <w:rFonts w:hint="eastAsia" w:hAnsi="宋体"/>
                <w:kern w:val="2"/>
                <w:szCs w:val="24"/>
              </w:rPr>
            </w:pPr>
          </w:p>
        </w:tc>
        <w:tc>
          <w:tcPr>
            <w:tcW w:w="1275" w:type="dxa"/>
            <w:vAlign w:val="center"/>
          </w:tcPr>
          <w:p>
            <w:pPr>
              <w:spacing w:beforeLines="50"/>
              <w:jc w:val="center"/>
              <w:rPr>
                <w:rFonts w:hint="eastAsia" w:ascii="宋体" w:hAnsi="宋体"/>
                <w:sz w:val="24"/>
                <w:szCs w:val="24"/>
              </w:rPr>
            </w:pPr>
            <w:r>
              <w:rPr>
                <w:rFonts w:hint="eastAsia" w:ascii="宋体" w:hAnsi="宋体"/>
                <w:sz w:val="24"/>
                <w:szCs w:val="24"/>
              </w:rPr>
              <w:t>样品编号</w:t>
            </w:r>
          </w:p>
        </w:tc>
        <w:tc>
          <w:tcPr>
            <w:tcW w:w="2802" w:type="dxa"/>
            <w:vAlign w:val="center"/>
          </w:tcPr>
          <w:p>
            <w:pPr>
              <w:spacing w:beforeLines="5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hint="eastAsia" w:ascii="宋体" w:hAnsi="宋体"/>
                <w:sz w:val="24"/>
                <w:szCs w:val="24"/>
              </w:rPr>
            </w:pPr>
            <w:r>
              <w:rPr>
                <w:rFonts w:hint="eastAsia" w:ascii="宋体" w:hAnsi="宋体"/>
                <w:sz w:val="24"/>
                <w:szCs w:val="24"/>
              </w:rPr>
              <w:t>样品接收日期</w:t>
            </w:r>
          </w:p>
        </w:tc>
        <w:tc>
          <w:tcPr>
            <w:tcW w:w="3772" w:type="dxa"/>
            <w:vAlign w:val="center"/>
          </w:tcPr>
          <w:p>
            <w:pPr>
              <w:spacing w:beforeLines="50"/>
              <w:jc w:val="center"/>
              <w:rPr>
                <w:rFonts w:hint="eastAsia" w:ascii="宋体" w:hAnsi="宋体"/>
                <w:sz w:val="24"/>
                <w:szCs w:val="24"/>
              </w:rPr>
            </w:pPr>
          </w:p>
        </w:tc>
        <w:tc>
          <w:tcPr>
            <w:tcW w:w="1275" w:type="dxa"/>
            <w:vAlign w:val="center"/>
          </w:tcPr>
          <w:p>
            <w:pPr>
              <w:spacing w:beforeLines="50"/>
              <w:jc w:val="center"/>
              <w:rPr>
                <w:rFonts w:hint="eastAsia" w:ascii="宋体" w:hAnsi="宋体"/>
                <w:sz w:val="24"/>
                <w:szCs w:val="24"/>
              </w:rPr>
            </w:pPr>
            <w:r>
              <w:rPr>
                <w:rFonts w:hint="eastAsia" w:ascii="宋体" w:hAnsi="宋体"/>
                <w:sz w:val="24"/>
                <w:szCs w:val="24"/>
              </w:rPr>
              <w:t>生产日期</w:t>
            </w:r>
          </w:p>
        </w:tc>
        <w:tc>
          <w:tcPr>
            <w:tcW w:w="2802" w:type="dxa"/>
            <w:vAlign w:val="center"/>
          </w:tcPr>
          <w:p>
            <w:pPr>
              <w:spacing w:beforeLines="5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样品等级</w:t>
            </w:r>
          </w:p>
        </w:tc>
        <w:tc>
          <w:tcPr>
            <w:tcW w:w="3772" w:type="dxa"/>
            <w:vAlign w:val="center"/>
          </w:tcPr>
          <w:p>
            <w:pPr>
              <w:spacing w:beforeLines="50"/>
              <w:jc w:val="center"/>
              <w:rPr>
                <w:rFonts w:hint="eastAsia" w:ascii="宋体" w:hAnsi="宋体"/>
                <w:sz w:val="24"/>
                <w:szCs w:val="24"/>
              </w:rPr>
            </w:pPr>
          </w:p>
        </w:tc>
        <w:tc>
          <w:tcPr>
            <w:tcW w:w="1275" w:type="dxa"/>
            <w:vAlign w:val="center"/>
          </w:tcPr>
          <w:p>
            <w:pPr>
              <w:spacing w:beforeLines="50"/>
              <w:jc w:val="center"/>
              <w:rPr>
                <w:rFonts w:hint="eastAsia" w:ascii="宋体" w:hAnsi="宋体"/>
                <w:sz w:val="24"/>
                <w:szCs w:val="24"/>
              </w:rPr>
            </w:pPr>
            <w:r>
              <w:rPr>
                <w:rFonts w:hint="eastAsia" w:ascii="宋体" w:hAnsi="宋体"/>
                <w:sz w:val="24"/>
                <w:szCs w:val="24"/>
              </w:rPr>
              <w:t>样品数量</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hint="eastAsia" w:ascii="宋体" w:hAnsi="宋体"/>
                <w:sz w:val="24"/>
                <w:szCs w:val="24"/>
              </w:rPr>
            </w:pPr>
            <w:r>
              <w:rPr>
                <w:rFonts w:hint="eastAsia" w:ascii="宋体" w:hAnsi="宋体"/>
                <w:sz w:val="24"/>
                <w:szCs w:val="24"/>
              </w:rPr>
              <w:t>检验项目</w:t>
            </w:r>
          </w:p>
        </w:tc>
        <w:tc>
          <w:tcPr>
            <w:tcW w:w="3772" w:type="dxa"/>
            <w:vAlign w:val="center"/>
          </w:tcPr>
          <w:p>
            <w:pPr>
              <w:spacing w:beforeLines="50"/>
              <w:jc w:val="center"/>
              <w:rPr>
                <w:rFonts w:hint="eastAsia" w:ascii="宋体" w:hAnsi="宋体"/>
                <w:sz w:val="24"/>
                <w:szCs w:val="24"/>
              </w:rPr>
            </w:pPr>
            <w:r>
              <w:rPr>
                <w:rFonts w:hint="eastAsia" w:ascii="宋体" w:hAnsi="宋体"/>
                <w:sz w:val="24"/>
                <w:szCs w:val="24"/>
              </w:rPr>
              <w:t>安全性</w:t>
            </w:r>
          </w:p>
        </w:tc>
        <w:tc>
          <w:tcPr>
            <w:tcW w:w="1275" w:type="dxa"/>
            <w:vAlign w:val="center"/>
          </w:tcPr>
          <w:p>
            <w:pPr>
              <w:spacing w:beforeLines="50"/>
              <w:jc w:val="center"/>
              <w:rPr>
                <w:rFonts w:hint="eastAsia" w:ascii="宋体" w:hAnsi="宋体"/>
                <w:sz w:val="24"/>
                <w:szCs w:val="24"/>
              </w:rPr>
            </w:pPr>
            <w:r>
              <w:rPr>
                <w:rFonts w:hint="eastAsia" w:ascii="宋体" w:hAnsi="宋体"/>
                <w:sz w:val="24"/>
                <w:szCs w:val="24"/>
              </w:rPr>
              <w:t>检验日期</w:t>
            </w:r>
          </w:p>
        </w:tc>
        <w:tc>
          <w:tcPr>
            <w:tcW w:w="2802" w:type="dxa"/>
            <w:vAlign w:val="center"/>
          </w:tcPr>
          <w:p>
            <w:pPr>
              <w:spacing w:beforeLines="5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hint="eastAsia" w:ascii="宋体" w:hAnsi="宋体"/>
                <w:sz w:val="24"/>
                <w:szCs w:val="24"/>
              </w:rPr>
            </w:pPr>
            <w:r>
              <w:rPr>
                <w:rFonts w:hint="eastAsia" w:ascii="宋体" w:hAnsi="宋体"/>
                <w:sz w:val="24"/>
                <w:szCs w:val="24"/>
              </w:rPr>
              <w:t>检验地点</w:t>
            </w:r>
          </w:p>
        </w:tc>
        <w:tc>
          <w:tcPr>
            <w:tcW w:w="7849" w:type="dxa"/>
            <w:gridSpan w:val="3"/>
            <w:vAlign w:val="center"/>
          </w:tcPr>
          <w:p>
            <w:pPr>
              <w:spacing w:beforeLines="5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trPr>
        <w:tc>
          <w:tcPr>
            <w:tcW w:w="1242" w:type="dxa"/>
            <w:vAlign w:val="center"/>
          </w:tcPr>
          <w:p>
            <w:pPr>
              <w:spacing w:beforeLines="50"/>
              <w:jc w:val="center"/>
              <w:rPr>
                <w:rFonts w:hint="eastAsia" w:ascii="宋体" w:hAnsi="宋体"/>
                <w:sz w:val="24"/>
                <w:szCs w:val="24"/>
              </w:rPr>
            </w:pPr>
            <w:r>
              <w:rPr>
                <w:rFonts w:hint="eastAsia" w:ascii="宋体" w:hAnsi="宋体"/>
                <w:sz w:val="24"/>
                <w:szCs w:val="24"/>
              </w:rPr>
              <w:t>仪器设备</w:t>
            </w:r>
          </w:p>
        </w:tc>
        <w:tc>
          <w:tcPr>
            <w:tcW w:w="7849" w:type="dxa"/>
            <w:gridSpan w:val="3"/>
            <w:vAlign w:val="center"/>
          </w:tcPr>
          <w:p>
            <w:pPr>
              <w:pStyle w:val="37"/>
              <w:widowControl w:val="0"/>
              <w:spacing w:beforeLines="50" w:line="240" w:lineRule="auto"/>
              <w:jc w:val="left"/>
              <w:rPr>
                <w:rFonts w:hint="eastAsia" w:hAnsi="宋体"/>
                <w:szCs w:val="24"/>
              </w:rPr>
            </w:pPr>
            <w:r>
              <w:rPr>
                <w:rFonts w:hint="eastAsia"/>
              </w:rPr>
              <w:t>卷尺、直尺、水平尺、</w:t>
            </w:r>
            <w:r>
              <w:rPr>
                <w:rFonts w:hint="eastAsia" w:hAnsi="宋体"/>
              </w:rPr>
              <w:t>机械秒表、温、湿度仪</w:t>
            </w:r>
            <w:r>
              <w:rPr>
                <w:rFonts w:hint="eastAsia"/>
              </w:rPr>
              <w:t>等常用量具和</w:t>
            </w:r>
            <w:r>
              <w:rPr>
                <w:rFonts w:hint="eastAsia" w:hAnsi="宋体"/>
                <w:szCs w:val="24"/>
              </w:rPr>
              <w:t>检测仪器均在计量有效期内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9" w:hRule="atLeast"/>
        </w:trPr>
        <w:tc>
          <w:tcPr>
            <w:tcW w:w="1242" w:type="dxa"/>
            <w:vAlign w:val="center"/>
          </w:tcPr>
          <w:p>
            <w:pPr>
              <w:spacing w:beforeLines="50"/>
              <w:jc w:val="center"/>
              <w:rPr>
                <w:rFonts w:hint="eastAsia" w:ascii="宋体" w:hAnsi="宋体"/>
                <w:sz w:val="24"/>
                <w:szCs w:val="24"/>
              </w:rPr>
            </w:pPr>
            <w:r>
              <w:rPr>
                <w:rFonts w:hint="eastAsia" w:ascii="宋体" w:hAnsi="宋体"/>
                <w:sz w:val="24"/>
                <w:szCs w:val="24"/>
              </w:rPr>
              <w:t>检测依据</w:t>
            </w:r>
          </w:p>
        </w:tc>
        <w:tc>
          <w:tcPr>
            <w:tcW w:w="7849" w:type="dxa"/>
            <w:gridSpan w:val="3"/>
            <w:vAlign w:val="center"/>
          </w:tcPr>
          <w:p>
            <w:pPr>
              <w:rPr>
                <w:rFonts w:hint="eastAsia" w:ascii="宋体" w:hAnsi="宋体"/>
                <w:sz w:val="24"/>
              </w:rPr>
            </w:pPr>
            <w:r>
              <w:rPr>
                <w:rFonts w:hint="eastAsia" w:ascii="宋体" w:hAnsi="宋体"/>
                <w:sz w:val="24"/>
              </w:rPr>
              <w:t>GB/T 3871.2-2006《农业拖拉机 试验规程 第2部分：整机参数测量》</w:t>
            </w:r>
          </w:p>
          <w:p>
            <w:pPr>
              <w:rPr>
                <w:rFonts w:hint="eastAsia" w:ascii="宋体" w:hAnsi="宋体"/>
                <w:sz w:val="24"/>
              </w:rPr>
            </w:pPr>
            <w:r>
              <w:rPr>
                <w:rFonts w:hint="eastAsia" w:ascii="宋体" w:hAnsi="宋体"/>
                <w:sz w:val="24"/>
              </w:rPr>
              <w:t>GB 10395.1-2009《农林机械 安全 第1部分：总则》</w:t>
            </w:r>
          </w:p>
          <w:p>
            <w:pPr>
              <w:rPr>
                <w:rFonts w:hint="eastAsia" w:ascii="宋体" w:hAnsi="宋体"/>
                <w:sz w:val="24"/>
              </w:rPr>
            </w:pPr>
            <w:r>
              <w:rPr>
                <w:rFonts w:hint="eastAsia" w:ascii="宋体" w:hAnsi="宋体"/>
                <w:sz w:val="24"/>
              </w:rPr>
              <w:t>GB 10395.9-2014《农林机械 安全 第9部分：播种机械》</w:t>
            </w:r>
          </w:p>
          <w:p>
            <w:pPr>
              <w:rPr>
                <w:rFonts w:hint="eastAsia" w:ascii="宋体" w:hAnsi="宋体"/>
                <w:sz w:val="24"/>
              </w:rPr>
            </w:pPr>
            <w:r>
              <w:rPr>
                <w:rFonts w:hint="eastAsia" w:ascii="宋体" w:hAnsi="宋体"/>
                <w:sz w:val="24"/>
              </w:rPr>
              <w:t>GB 10396-2006《农林拖拉机和机械 草坪和园艺动力机械 安全标志和危险图形 总则》</w:t>
            </w:r>
          </w:p>
          <w:p>
            <w:pPr>
              <w:rPr>
                <w:rFonts w:hint="eastAsia" w:ascii="宋体" w:hAnsi="宋体"/>
                <w:sz w:val="24"/>
              </w:rPr>
            </w:pPr>
            <w:r>
              <w:rPr>
                <w:rFonts w:hint="eastAsia" w:ascii="宋体" w:hAnsi="宋体"/>
                <w:sz w:val="24"/>
                <w:szCs w:val="24"/>
              </w:rPr>
              <w:t>G</w:t>
            </w:r>
            <w:r>
              <w:rPr>
                <w:rFonts w:hint="eastAsia" w:ascii="宋体" w:hAnsi="宋体"/>
                <w:sz w:val="24"/>
              </w:rPr>
              <w:t>B/T 5668-2017《旋耕机》</w:t>
            </w:r>
          </w:p>
          <w:p>
            <w:pPr>
              <w:rPr>
                <w:rFonts w:hint="eastAsia"/>
                <w:sz w:val="24"/>
              </w:rPr>
            </w:pPr>
            <w:r>
              <w:rPr>
                <w:rFonts w:hint="eastAsia" w:ascii="宋体" w:hAnsi="宋体"/>
                <w:sz w:val="24"/>
              </w:rPr>
              <w:t>××××××××《</w:t>
            </w:r>
            <w:r>
              <w:rPr>
                <w:rFonts w:hint="eastAsia" w:ascii="宋体" w:hAnsi="宋体"/>
                <w:sz w:val="24"/>
                <w:szCs w:val="24"/>
              </w:rPr>
              <w:t>油菜毯状苗联合移栽机安全性验证方案</w:t>
            </w:r>
            <w:r>
              <w:rPr>
                <w:rFonts w:hint="eastAsia" w:ascii="宋体" w:hAnsi="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6" w:hRule="atLeast"/>
        </w:trPr>
        <w:tc>
          <w:tcPr>
            <w:tcW w:w="1242" w:type="dxa"/>
            <w:vAlign w:val="center"/>
          </w:tcPr>
          <w:p>
            <w:pPr>
              <w:spacing w:beforeLines="50"/>
              <w:jc w:val="center"/>
              <w:rPr>
                <w:rFonts w:hint="eastAsia" w:ascii="宋体" w:hAnsi="宋体"/>
                <w:sz w:val="24"/>
                <w:szCs w:val="24"/>
              </w:rPr>
            </w:pPr>
            <w:r>
              <w:rPr>
                <w:rFonts w:hint="eastAsia" w:ascii="宋体" w:hAnsi="宋体"/>
                <w:sz w:val="24"/>
                <w:szCs w:val="24"/>
              </w:rPr>
              <w:t>检</w:t>
            </w:r>
          </w:p>
          <w:p>
            <w:pPr>
              <w:spacing w:beforeLines="50"/>
              <w:jc w:val="center"/>
              <w:rPr>
                <w:rFonts w:hint="eastAsia" w:ascii="宋体" w:hAnsi="宋体"/>
                <w:sz w:val="24"/>
                <w:szCs w:val="24"/>
              </w:rPr>
            </w:pPr>
            <w:r>
              <w:rPr>
                <w:rFonts w:hint="eastAsia" w:ascii="宋体" w:hAnsi="宋体"/>
                <w:sz w:val="24"/>
                <w:szCs w:val="24"/>
              </w:rPr>
              <w:t>验</w:t>
            </w:r>
          </w:p>
          <w:p>
            <w:pPr>
              <w:spacing w:beforeLines="50"/>
              <w:jc w:val="center"/>
              <w:rPr>
                <w:rFonts w:hint="eastAsia" w:ascii="宋体" w:hAnsi="宋体"/>
                <w:sz w:val="24"/>
                <w:szCs w:val="24"/>
              </w:rPr>
            </w:pPr>
            <w:r>
              <w:rPr>
                <w:rFonts w:hint="eastAsia" w:ascii="宋体" w:hAnsi="宋体"/>
                <w:sz w:val="24"/>
                <w:szCs w:val="24"/>
              </w:rPr>
              <w:t>结</w:t>
            </w:r>
          </w:p>
          <w:p>
            <w:pPr>
              <w:spacing w:beforeLines="50"/>
              <w:jc w:val="center"/>
              <w:rPr>
                <w:rFonts w:hint="eastAsia" w:ascii="宋体" w:hAnsi="宋体"/>
                <w:sz w:val="24"/>
                <w:szCs w:val="24"/>
              </w:rPr>
            </w:pPr>
            <w:r>
              <w:rPr>
                <w:rFonts w:hint="eastAsia" w:ascii="宋体" w:hAnsi="宋体"/>
                <w:sz w:val="24"/>
                <w:szCs w:val="24"/>
              </w:rPr>
              <w:t>论</w:t>
            </w:r>
          </w:p>
        </w:tc>
        <w:tc>
          <w:tcPr>
            <w:tcW w:w="7849" w:type="dxa"/>
            <w:gridSpan w:val="3"/>
            <w:vAlign w:val="center"/>
          </w:tcPr>
          <w:p>
            <w:pPr>
              <w:pStyle w:val="15"/>
              <w:spacing w:beforeLines="50"/>
              <w:ind w:left="119" w:leftChars="57" w:right="407" w:rightChars="194" w:firstLine="240" w:firstLineChars="100"/>
              <w:rPr>
                <w:rFonts w:hint="eastAsia" w:hAnsi="宋体"/>
                <w:sz w:val="24"/>
                <w:szCs w:val="24"/>
              </w:rPr>
            </w:pPr>
          </w:p>
          <w:p>
            <w:pPr>
              <w:pStyle w:val="15"/>
              <w:spacing w:beforeLines="50"/>
              <w:ind w:right="-73" w:rightChars="-35" w:firstLine="175" w:firstLineChars="73"/>
              <w:rPr>
                <w:rFonts w:hint="eastAsia" w:hAnsi="宋体"/>
                <w:sz w:val="24"/>
                <w:szCs w:val="24"/>
              </w:rPr>
            </w:pPr>
          </w:p>
          <w:p>
            <w:pPr>
              <w:spacing w:line="360" w:lineRule="auto"/>
              <w:jc w:val="left"/>
              <w:rPr>
                <w:rFonts w:ascii="宋体" w:hAnsi="宋体"/>
                <w:sz w:val="24"/>
                <w:szCs w:val="24"/>
              </w:rPr>
            </w:pPr>
            <w:r>
              <w:rPr>
                <w:rFonts w:hint="eastAsia"/>
                <w:sz w:val="24"/>
              </w:rPr>
              <w:t xml:space="preserve">   经检验，所检安全性项目符合</w:t>
            </w:r>
            <w:r>
              <w:rPr>
                <w:rFonts w:hint="eastAsia" w:ascii="宋体" w:hAnsi="宋体"/>
                <w:sz w:val="24"/>
              </w:rPr>
              <w:t>××××××××《</w:t>
            </w:r>
            <w:r>
              <w:rPr>
                <w:rFonts w:hint="eastAsia" w:ascii="宋体" w:hAnsi="宋体"/>
                <w:sz w:val="24"/>
                <w:szCs w:val="24"/>
              </w:rPr>
              <w:t>油菜毯状苗联合移栽机安全性验证方案</w:t>
            </w:r>
            <w:r>
              <w:rPr>
                <w:rFonts w:hint="eastAsia" w:ascii="宋体" w:hAnsi="宋体"/>
                <w:sz w:val="24"/>
              </w:rPr>
              <w:t>》</w:t>
            </w:r>
            <w:r>
              <w:rPr>
                <w:rFonts w:hint="eastAsia" w:ascii="宋体" w:hAnsi="宋体"/>
                <w:sz w:val="24"/>
                <w:szCs w:val="24"/>
              </w:rPr>
              <w:t>规定要求</w:t>
            </w:r>
            <w:r>
              <w:rPr>
                <w:rFonts w:hint="eastAsia"/>
                <w:sz w:val="24"/>
              </w:rPr>
              <w:t>。</w:t>
            </w:r>
          </w:p>
          <w:p>
            <w:pPr>
              <w:pStyle w:val="15"/>
              <w:spacing w:beforeLines="50"/>
              <w:ind w:left="119" w:leftChars="57" w:right="407" w:rightChars="194" w:firstLine="480"/>
              <w:rPr>
                <w:rFonts w:hint="eastAsia" w:hAnsi="宋体"/>
                <w:sz w:val="24"/>
                <w:szCs w:val="24"/>
              </w:rPr>
            </w:pPr>
          </w:p>
          <w:p>
            <w:pPr>
              <w:pStyle w:val="15"/>
              <w:spacing w:beforeLines="50"/>
              <w:ind w:firstLine="0" w:firstLineChars="0"/>
              <w:rPr>
                <w:rFonts w:hint="eastAsia" w:hAnsi="宋体"/>
                <w:sz w:val="24"/>
                <w:szCs w:val="24"/>
              </w:rPr>
            </w:pPr>
          </w:p>
          <w:p>
            <w:pPr>
              <w:spacing w:beforeLines="50"/>
              <w:ind w:firstLine="2880" w:firstLineChars="1200"/>
              <w:jc w:val="center"/>
              <w:rPr>
                <w:rFonts w:hint="eastAsia" w:ascii="宋体" w:hAnsi="宋体"/>
                <w:sz w:val="24"/>
                <w:szCs w:val="24"/>
              </w:rPr>
            </w:pPr>
            <w:r>
              <w:rPr>
                <w:rFonts w:hint="eastAsia" w:ascii="宋体" w:hAnsi="宋体"/>
                <w:sz w:val="24"/>
                <w:szCs w:val="24"/>
              </w:rPr>
              <w:t xml:space="preserve">  （检验检测专用章）</w:t>
            </w:r>
          </w:p>
          <w:p>
            <w:pPr>
              <w:spacing w:beforeLines="50"/>
              <w:jc w:val="center"/>
              <w:rPr>
                <w:rFonts w:ascii="宋体" w:hAnsi="宋体"/>
                <w:sz w:val="24"/>
                <w:szCs w:val="24"/>
              </w:rPr>
            </w:pPr>
            <w:r>
              <w:rPr>
                <w:rFonts w:hint="eastAsia" w:ascii="宋体" w:hAnsi="宋体"/>
                <w:sz w:val="24"/>
                <w:szCs w:val="24"/>
              </w:rPr>
              <w:t xml:space="preserve">                          报告发布日期: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1242" w:type="dxa"/>
            <w:vAlign w:val="center"/>
          </w:tcPr>
          <w:p>
            <w:pPr>
              <w:spacing w:beforeLines="50"/>
              <w:jc w:val="center"/>
              <w:rPr>
                <w:rFonts w:hint="eastAsia" w:ascii="宋体" w:hAnsi="宋体"/>
                <w:sz w:val="24"/>
                <w:szCs w:val="24"/>
              </w:rPr>
            </w:pPr>
            <w:r>
              <w:rPr>
                <w:rFonts w:hint="eastAsia" w:ascii="宋体" w:hAnsi="宋体"/>
                <w:sz w:val="24"/>
                <w:szCs w:val="24"/>
              </w:rPr>
              <w:t>备注</w:t>
            </w:r>
          </w:p>
        </w:tc>
        <w:tc>
          <w:tcPr>
            <w:tcW w:w="7849" w:type="dxa"/>
            <w:gridSpan w:val="3"/>
            <w:vAlign w:val="center"/>
          </w:tcPr>
          <w:p>
            <w:pPr>
              <w:spacing w:beforeLines="50"/>
              <w:jc w:val="center"/>
              <w:rPr>
                <w:rFonts w:hint="eastAsia" w:ascii="宋体" w:hAnsi="宋体"/>
                <w:sz w:val="24"/>
                <w:szCs w:val="24"/>
              </w:rPr>
            </w:pPr>
            <w:r>
              <w:rPr>
                <w:rFonts w:hint="eastAsia" w:ascii="宋体" w:hAnsi="宋体"/>
                <w:sz w:val="24"/>
                <w:szCs w:val="24"/>
              </w:rPr>
              <w:t>/</w:t>
            </w:r>
          </w:p>
        </w:tc>
      </w:tr>
    </w:tbl>
    <w:p>
      <w:pPr>
        <w:adjustRightInd w:val="0"/>
        <w:snapToGrid w:val="0"/>
        <w:jc w:val="left"/>
        <w:rPr>
          <w:rFonts w:hint="eastAsia" w:ascii="宋体" w:hAnsi="宋体"/>
          <w:sz w:val="28"/>
        </w:rPr>
      </w:pPr>
      <w:r>
        <w:rPr>
          <w:rFonts w:hint="eastAsia" w:ascii="宋体" w:hAnsi="宋体"/>
          <w:sz w:val="24"/>
          <w:szCs w:val="24"/>
        </w:rPr>
        <w:t>批准</w:t>
      </w:r>
      <w:r>
        <w:rPr>
          <w:rFonts w:ascii="宋体" w:hAnsi="宋体"/>
          <w:sz w:val="24"/>
          <w:szCs w:val="24"/>
        </w:rPr>
        <w:t>:</w:t>
      </w:r>
      <w:r>
        <w:rPr>
          <w:rFonts w:hint="eastAsia" w:ascii="宋体" w:hAnsi="宋体"/>
          <w:sz w:val="24"/>
          <w:szCs w:val="24"/>
        </w:rPr>
        <w:t xml:space="preserve">                               审核:                   编制</w:t>
      </w:r>
      <w:r>
        <w:rPr>
          <w:rFonts w:ascii="宋体" w:hAnsi="宋体"/>
          <w:sz w:val="24"/>
          <w:szCs w:val="24"/>
        </w:rPr>
        <w:t>:</w:t>
      </w:r>
    </w:p>
    <w:p>
      <w:pPr>
        <w:outlineLvl w:val="0"/>
        <w:rPr>
          <w:rFonts w:hint="eastAsia" w:ascii="宋体" w:hAnsi="宋体"/>
          <w:sz w:val="24"/>
          <w:szCs w:val="24"/>
        </w:rPr>
      </w:pPr>
      <w:r>
        <w:rPr>
          <w:rFonts w:hint="eastAsia" w:ascii="宋体" w:hAnsi="宋体"/>
          <w:sz w:val="24"/>
          <w:szCs w:val="24"/>
        </w:rPr>
        <w:t>签发日期：        年    月   日       年    月   日           年    月    日</w:t>
      </w:r>
    </w:p>
    <w:p>
      <w:pPr>
        <w:rPr>
          <w:rFonts w:hint="eastAsia" w:ascii="宋体" w:hAnsi="宋体"/>
          <w:b/>
          <w:sz w:val="30"/>
        </w:rPr>
      </w:pPr>
      <w:r>
        <w:rPr>
          <w:rFonts w:hint="eastAsia" w:ascii="宋体" w:hAnsi="宋体"/>
          <w:b/>
          <w:sz w:val="32"/>
          <w:szCs w:val="32"/>
        </w:rPr>
        <w:t>1.综述</w:t>
      </w:r>
    </w:p>
    <w:p>
      <w:pPr>
        <w:framePr w:wrap="auto" w:vAnchor="page" w:hAnchor="page" w:x="1561" w:y="1803"/>
        <w:spacing w:line="400" w:lineRule="exact"/>
        <w:rPr>
          <w:rFonts w:hint="eastAsia" w:ascii="宋体" w:hAnsi="宋体"/>
          <w:sz w:val="24"/>
          <w:szCs w:val="24"/>
        </w:rPr>
      </w:pPr>
      <w:bookmarkStart w:id="0" w:name="_GoBack"/>
      <w:r>
        <w:rPr>
          <w:rFonts w:hint="eastAsia"/>
          <w:szCs w:val="28"/>
        </w:rPr>
        <w:t xml:space="preserve">  </w:t>
      </w:r>
      <w:r>
        <w:rPr>
          <w:rFonts w:hint="eastAsia" w:ascii="宋体" w:hAnsi="宋体"/>
          <w:sz w:val="24"/>
          <w:szCs w:val="24"/>
        </w:rPr>
        <w:t xml:space="preserve">    受</w:t>
      </w:r>
      <w:r>
        <w:rPr>
          <w:rFonts w:hint="eastAsia" w:ascii="宋体" w:hAnsi="宋体"/>
          <w:sz w:val="24"/>
        </w:rPr>
        <w:t>××××××××</w:t>
      </w:r>
      <w:r>
        <w:rPr>
          <w:rFonts w:hint="eastAsia" w:ascii="宋体" w:hAnsi="宋体"/>
          <w:sz w:val="24"/>
          <w:szCs w:val="24"/>
        </w:rPr>
        <w:t>有限公司的委托，根据GB/T 3871.2-2006《农业拖拉机 试验规程第2部分：整机参数测量》、GB 10395.1-2009《农林机械 安全 第1部分：总则》、GB 10396-2006《农林拖拉机和机械 草坪和园艺动力机械 安全标志和危险图形 总则》、GB/T 5668-2017《旋耕机》、</w:t>
      </w:r>
      <w:r>
        <w:rPr>
          <w:rFonts w:hint="eastAsia" w:ascii="宋体" w:hAnsi="宋体"/>
          <w:sz w:val="24"/>
        </w:rPr>
        <w:t>GB 10395.9-2014《农林机械 安全 第9部分：播种机械》</w:t>
      </w:r>
      <w:r>
        <w:rPr>
          <w:rFonts w:hint="eastAsia" w:ascii="宋体" w:hAnsi="宋体"/>
          <w:sz w:val="24"/>
          <w:szCs w:val="24"/>
        </w:rPr>
        <w:t>和</w:t>
      </w:r>
      <w:r>
        <w:rPr>
          <w:rFonts w:hint="eastAsia" w:ascii="宋体" w:hAnsi="宋体"/>
          <w:sz w:val="24"/>
        </w:rPr>
        <w:t>××××××××《</w:t>
      </w:r>
      <w:r>
        <w:rPr>
          <w:rFonts w:hint="eastAsia" w:ascii="宋体" w:hAnsi="宋体"/>
          <w:sz w:val="24"/>
          <w:szCs w:val="24"/>
        </w:rPr>
        <w:t>油菜毯状苗联合移栽机安全性验证方案</w:t>
      </w:r>
      <w:r>
        <w:rPr>
          <w:rFonts w:hint="eastAsia" w:ascii="宋体" w:hAnsi="宋体"/>
          <w:sz w:val="24"/>
        </w:rPr>
        <w:t>》</w:t>
      </w:r>
      <w:r>
        <w:rPr>
          <w:rFonts w:hint="eastAsia" w:ascii="宋体" w:hAnsi="宋体"/>
          <w:sz w:val="24"/>
          <w:szCs w:val="24"/>
        </w:rPr>
        <w:t>的要求，对该公司生产的</w:t>
      </w:r>
      <w:r>
        <w:rPr>
          <w:rFonts w:hint="eastAsia" w:ascii="宋体" w:hAnsi="宋体"/>
          <w:sz w:val="24"/>
        </w:rPr>
        <w:t>×××××××</w:t>
      </w:r>
      <w:r>
        <w:rPr>
          <w:rFonts w:hint="eastAsia" w:ascii="宋体" w:hAnsi="宋体"/>
          <w:sz w:val="24"/>
          <w:szCs w:val="24"/>
        </w:rPr>
        <w:t>样品进行了一致性、安全性等项目检查，检验结果如下：</w:t>
      </w:r>
    </w:p>
    <w:bookmarkEnd w:id="0"/>
    <w:p>
      <w:pPr>
        <w:keepNext w:val="0"/>
        <w:keepLines w:val="0"/>
        <w:pageBreakBefore w:val="0"/>
        <w:widowControl w:val="0"/>
        <w:kinsoku/>
        <w:wordWrap/>
        <w:overflowPunct/>
        <w:topLinePunct w:val="0"/>
        <w:autoSpaceDE/>
        <w:autoSpaceDN/>
        <w:bidi w:val="0"/>
        <w:adjustRightInd w:val="0"/>
        <w:snapToGrid w:val="0"/>
        <w:spacing w:beforeLines="50" w:afterLines="50" w:line="240" w:lineRule="auto"/>
        <w:ind w:right="-2" w:rightChars="-1"/>
        <w:textAlignment w:val="auto"/>
        <w:rPr>
          <w:rFonts w:hint="eastAsia"/>
          <w:sz w:val="32"/>
          <w:szCs w:val="32"/>
        </w:rPr>
      </w:pPr>
      <w:r>
        <w:rPr>
          <w:rFonts w:hint="eastAsia"/>
          <w:b/>
          <w:sz w:val="32"/>
          <w:szCs w:val="32"/>
        </w:rPr>
        <w:t>2.主要技术规格</w:t>
      </w:r>
      <w:r>
        <w:rPr>
          <w:rFonts w:hint="eastAsia" w:ascii="宋体" w:hAnsi="宋体"/>
          <w:b/>
          <w:sz w:val="32"/>
          <w:szCs w:val="32"/>
          <w:vertAlign w:val="superscript"/>
        </w:rPr>
        <w:t>（1）</w:t>
      </w:r>
      <w:r>
        <w:rPr>
          <w:rFonts w:hint="eastAsia"/>
          <w:b/>
          <w:sz w:val="32"/>
          <w:szCs w:val="32"/>
        </w:rPr>
        <w:t xml:space="preserve"> </w:t>
      </w:r>
    </w:p>
    <w:tbl>
      <w:tblPr>
        <w:tblStyle w:val="8"/>
        <w:tblW w:w="9265" w:type="dxa"/>
        <w:tblInd w:w="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
        <w:gridCol w:w="3402"/>
        <w:gridCol w:w="1559"/>
        <w:gridCol w:w="3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序号</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项目</w:t>
            </w: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单位</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设计值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w:t>
            </w:r>
          </w:p>
        </w:tc>
        <w:tc>
          <w:tcPr>
            <w:tcW w:w="3402"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型号名称</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2</w:t>
            </w:r>
          </w:p>
        </w:tc>
        <w:tc>
          <w:tcPr>
            <w:tcW w:w="3402"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结构型式</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3</w:t>
            </w:r>
          </w:p>
        </w:tc>
        <w:tc>
          <w:tcPr>
            <w:tcW w:w="3402"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jc w:val="left"/>
              <w:rPr>
                <w:rFonts w:hAnsi="宋体"/>
                <w:sz w:val="24"/>
                <w:szCs w:val="24"/>
              </w:rPr>
            </w:pPr>
            <w:r>
              <w:rPr>
                <w:rFonts w:hAnsi="宋体"/>
                <w:sz w:val="24"/>
                <w:szCs w:val="24"/>
              </w:rPr>
              <w:t>适用秧苗类型</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4</w:t>
            </w:r>
          </w:p>
        </w:tc>
        <w:tc>
          <w:tcPr>
            <w:tcW w:w="3402"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配套拖拉机功率代号范围</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HP</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5</w:t>
            </w:r>
          </w:p>
        </w:tc>
        <w:tc>
          <w:tcPr>
            <w:tcW w:w="3402"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配套拖拉机后置三点悬挂类别</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6</w:t>
            </w:r>
          </w:p>
        </w:tc>
        <w:tc>
          <w:tcPr>
            <w:tcW w:w="3402"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整机外</w:t>
            </w:r>
            <w:r>
              <w:rPr>
                <w:rFonts w:ascii="宋体" w:hAnsi="宋体"/>
                <w:sz w:val="24"/>
                <w:szCs w:val="24"/>
              </w:rPr>
              <w:t>形尺寸(长×宽×高)</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mm</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7</w:t>
            </w:r>
          </w:p>
        </w:tc>
        <w:tc>
          <w:tcPr>
            <w:tcW w:w="3402"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工作行数</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行</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8</w:t>
            </w:r>
          </w:p>
        </w:tc>
        <w:tc>
          <w:tcPr>
            <w:tcW w:w="3402"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jc w:val="left"/>
              <w:rPr>
                <w:rFonts w:hAnsi="宋体"/>
                <w:sz w:val="24"/>
                <w:szCs w:val="24"/>
              </w:rPr>
            </w:pPr>
            <w:r>
              <w:rPr>
                <w:rFonts w:hAnsi="宋体"/>
                <w:sz w:val="24"/>
                <w:szCs w:val="24"/>
              </w:rPr>
              <w:t>工作幅宽</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9</w:t>
            </w:r>
          </w:p>
        </w:tc>
        <w:tc>
          <w:tcPr>
            <w:tcW w:w="3402"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取（投）苗方式</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10</w:t>
            </w:r>
          </w:p>
        </w:tc>
        <w:tc>
          <w:tcPr>
            <w:tcW w:w="3402"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取（投）苗机构型式</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11</w:t>
            </w:r>
          </w:p>
        </w:tc>
        <w:tc>
          <w:tcPr>
            <w:tcW w:w="3402"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栽植器（臂）型式</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12</w:t>
            </w:r>
          </w:p>
        </w:tc>
        <w:tc>
          <w:tcPr>
            <w:tcW w:w="3402"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kern w:val="144"/>
                <w:sz w:val="24"/>
                <w:szCs w:val="24"/>
              </w:rPr>
            </w:pPr>
            <w:r>
              <w:rPr>
                <w:rFonts w:ascii="宋体" w:hAnsi="宋体"/>
                <w:sz w:val="24"/>
                <w:szCs w:val="24"/>
              </w:rPr>
              <w:t>行距</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13</w:t>
            </w:r>
          </w:p>
        </w:tc>
        <w:tc>
          <w:tcPr>
            <w:tcW w:w="3402" w:type="dxa"/>
            <w:tcBorders>
              <w:top w:val="single" w:color="auto" w:sz="4" w:space="0"/>
              <w:left w:val="single" w:color="auto" w:sz="4" w:space="0"/>
              <w:bottom w:val="single" w:color="auto" w:sz="4" w:space="0"/>
              <w:right w:val="single" w:color="auto" w:sz="4" w:space="0"/>
            </w:tcBorders>
          </w:tcPr>
          <w:p>
            <w:pPr>
              <w:pStyle w:val="15"/>
              <w:widowControl w:val="0"/>
              <w:ind w:firstLine="0" w:firstLineChars="0"/>
              <w:contextualSpacing/>
              <w:jc w:val="left"/>
              <w:rPr>
                <w:rFonts w:hAnsi="宋体"/>
                <w:kern w:val="2"/>
                <w:sz w:val="24"/>
                <w:szCs w:val="24"/>
              </w:rPr>
            </w:pPr>
            <w:r>
              <w:rPr>
                <w:rFonts w:hAnsi="宋体"/>
                <w:sz w:val="24"/>
                <w:szCs w:val="24"/>
              </w:rPr>
              <w:t>穴距（调节范围）</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14</w:t>
            </w:r>
          </w:p>
        </w:tc>
        <w:tc>
          <w:tcPr>
            <w:tcW w:w="3402" w:type="dxa"/>
            <w:tcBorders>
              <w:top w:val="single" w:color="auto" w:sz="4" w:space="0"/>
              <w:left w:val="single" w:color="auto" w:sz="4" w:space="0"/>
              <w:bottom w:val="single" w:color="auto" w:sz="4" w:space="0"/>
              <w:right w:val="single" w:color="auto" w:sz="4" w:space="0"/>
            </w:tcBorders>
          </w:tcPr>
          <w:p>
            <w:pPr>
              <w:pStyle w:val="15"/>
              <w:widowControl w:val="0"/>
              <w:ind w:firstLine="0" w:firstLineChars="0"/>
              <w:contextualSpacing/>
              <w:jc w:val="left"/>
              <w:rPr>
                <w:rFonts w:hAnsi="宋体"/>
                <w:sz w:val="24"/>
                <w:szCs w:val="24"/>
              </w:rPr>
            </w:pPr>
            <w:r>
              <w:rPr>
                <w:rFonts w:hAnsi="宋体"/>
                <w:sz w:val="24"/>
                <w:szCs w:val="24"/>
              </w:rPr>
              <w:t>栽植深度</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kern w:val="0"/>
                <w:sz w:val="24"/>
                <w:szCs w:val="24"/>
              </w:rPr>
            </w:pPr>
            <w:r>
              <w:rPr>
                <w:rFonts w:ascii="宋体" w:hAnsi="宋体"/>
                <w:sz w:val="24"/>
                <w:szCs w:val="24"/>
              </w:rPr>
              <w:t>cm</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15</w:t>
            </w:r>
          </w:p>
        </w:tc>
        <w:tc>
          <w:tcPr>
            <w:tcW w:w="3402" w:type="dxa"/>
            <w:tcBorders>
              <w:top w:val="single" w:color="auto" w:sz="4" w:space="0"/>
              <w:left w:val="single" w:color="auto" w:sz="4" w:space="0"/>
              <w:bottom w:val="single" w:color="auto" w:sz="4" w:space="0"/>
              <w:right w:val="single" w:color="auto" w:sz="4" w:space="0"/>
            </w:tcBorders>
          </w:tcPr>
          <w:p>
            <w:pPr>
              <w:pStyle w:val="15"/>
              <w:widowControl w:val="0"/>
              <w:ind w:firstLine="0" w:firstLineChars="0"/>
              <w:contextualSpacing/>
              <w:jc w:val="left"/>
              <w:rPr>
                <w:rFonts w:hAnsi="宋体"/>
                <w:sz w:val="24"/>
                <w:szCs w:val="24"/>
              </w:rPr>
            </w:pPr>
            <w:r>
              <w:rPr>
                <w:rFonts w:hint="eastAsia" w:hAnsi="宋体"/>
                <w:sz w:val="24"/>
                <w:szCs w:val="24"/>
              </w:rPr>
              <w:t>切缝宽度</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16</w:t>
            </w:r>
          </w:p>
        </w:tc>
        <w:tc>
          <w:tcPr>
            <w:tcW w:w="3402"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jc w:val="left"/>
              <w:rPr>
                <w:rFonts w:hAnsi="宋体"/>
                <w:sz w:val="24"/>
                <w:szCs w:val="24"/>
              </w:rPr>
            </w:pPr>
            <w:r>
              <w:rPr>
                <w:rFonts w:hAnsi="宋体"/>
                <w:sz w:val="24"/>
                <w:szCs w:val="24"/>
              </w:rPr>
              <w:t>耕整地机构型式</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17</w:t>
            </w:r>
          </w:p>
        </w:tc>
        <w:tc>
          <w:tcPr>
            <w:tcW w:w="3402"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jc w:val="left"/>
              <w:rPr>
                <w:rFonts w:hAnsi="宋体"/>
                <w:sz w:val="24"/>
                <w:szCs w:val="24"/>
              </w:rPr>
            </w:pPr>
            <w:r>
              <w:rPr>
                <w:rFonts w:hAnsi="宋体"/>
                <w:sz w:val="24"/>
                <w:szCs w:val="24"/>
              </w:rPr>
              <w:t>旋耕刀型号</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18</w:t>
            </w:r>
          </w:p>
        </w:tc>
        <w:tc>
          <w:tcPr>
            <w:tcW w:w="3402"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jc w:val="left"/>
              <w:rPr>
                <w:rFonts w:hAnsi="宋体"/>
                <w:sz w:val="24"/>
                <w:szCs w:val="24"/>
              </w:rPr>
            </w:pPr>
            <w:r>
              <w:rPr>
                <w:rFonts w:hAnsi="宋体"/>
                <w:sz w:val="24"/>
                <w:szCs w:val="24"/>
              </w:rPr>
              <w:t>旋耕刀辊设计转速</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r/min</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19</w:t>
            </w:r>
          </w:p>
        </w:tc>
        <w:tc>
          <w:tcPr>
            <w:tcW w:w="3402"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jc w:val="left"/>
              <w:rPr>
                <w:rFonts w:hAnsi="宋体"/>
                <w:sz w:val="24"/>
                <w:szCs w:val="24"/>
              </w:rPr>
            </w:pPr>
            <w:r>
              <w:rPr>
                <w:rFonts w:hAnsi="宋体"/>
                <w:sz w:val="24"/>
                <w:szCs w:val="24"/>
              </w:rPr>
              <w:t>旋耕刀总安装刀数</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把</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20</w:t>
            </w:r>
          </w:p>
        </w:tc>
        <w:tc>
          <w:tcPr>
            <w:tcW w:w="3402"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jc w:val="left"/>
              <w:rPr>
                <w:rFonts w:hAnsi="宋体"/>
                <w:sz w:val="24"/>
                <w:szCs w:val="24"/>
              </w:rPr>
            </w:pPr>
            <w:r>
              <w:rPr>
                <w:rFonts w:hAnsi="宋体"/>
                <w:sz w:val="24"/>
                <w:szCs w:val="24"/>
              </w:rPr>
              <w:t>开沟深度</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hint="eastAsia" w:ascii="宋体" w:hAnsi="宋体"/>
                <w:sz w:val="24"/>
                <w:szCs w:val="24"/>
              </w:rPr>
              <w:t>21</w:t>
            </w:r>
          </w:p>
        </w:tc>
        <w:tc>
          <w:tcPr>
            <w:tcW w:w="3402" w:type="dxa"/>
            <w:tcBorders>
              <w:top w:val="single" w:color="auto" w:sz="4" w:space="0"/>
              <w:left w:val="single" w:color="auto" w:sz="4" w:space="0"/>
              <w:bottom w:val="single" w:color="auto" w:sz="4" w:space="0"/>
              <w:right w:val="single" w:color="auto" w:sz="4" w:space="0"/>
            </w:tcBorders>
          </w:tcPr>
          <w:p>
            <w:pPr>
              <w:pStyle w:val="15"/>
              <w:widowControl w:val="0"/>
              <w:ind w:firstLine="0" w:firstLineChars="0"/>
              <w:contextualSpacing/>
              <w:jc w:val="left"/>
              <w:rPr>
                <w:rFonts w:hAnsi="宋体"/>
                <w:sz w:val="24"/>
                <w:szCs w:val="24"/>
              </w:rPr>
            </w:pPr>
            <w:r>
              <w:rPr>
                <w:rFonts w:hAnsi="宋体"/>
                <w:sz w:val="24"/>
                <w:szCs w:val="24"/>
              </w:rPr>
              <w:t>纯工作小时生产率</w:t>
            </w:r>
          </w:p>
        </w:tc>
        <w:tc>
          <w:tcPr>
            <w:tcW w:w="1559"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hint="eastAsia" w:ascii="宋体" w:hAnsi="宋体"/>
                <w:kern w:val="0"/>
                <w:sz w:val="24"/>
                <w:szCs w:val="24"/>
              </w:rPr>
              <w:t>亩</w:t>
            </w:r>
            <w:r>
              <w:rPr>
                <w:rFonts w:ascii="宋体" w:hAnsi="宋体"/>
                <w:kern w:val="0"/>
                <w:sz w:val="24"/>
                <w:szCs w:val="24"/>
              </w:rPr>
              <w:t>/h</w:t>
            </w:r>
          </w:p>
        </w:tc>
        <w:tc>
          <w:tcPr>
            <w:tcW w:w="34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r>
              <w:rPr>
                <w:rFonts w:hint="eastAsia" w:ascii="宋体" w:hAnsi="宋体"/>
                <w:sz w:val="24"/>
                <w:szCs w:val="24"/>
              </w:rPr>
              <w:t>备注</w:t>
            </w:r>
          </w:p>
        </w:tc>
        <w:tc>
          <w:tcPr>
            <w:tcW w:w="8363" w:type="dxa"/>
            <w:gridSpan w:val="3"/>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left"/>
              <w:rPr>
                <w:rFonts w:ascii="宋体" w:hAnsi="宋体"/>
                <w:sz w:val="24"/>
                <w:szCs w:val="24"/>
              </w:rPr>
            </w:pPr>
            <w:r>
              <w:rPr>
                <w:rFonts w:hint="eastAsia" w:ascii="宋体" w:hAnsi="宋体"/>
                <w:sz w:val="24"/>
                <w:szCs w:val="24"/>
              </w:rPr>
              <w:t>（1）由委托单位提供的项目和设计值。</w:t>
            </w:r>
          </w:p>
        </w:tc>
      </w:tr>
    </w:tbl>
    <w:p>
      <w:pPr>
        <w:rPr>
          <w:rFonts w:hint="eastAsia"/>
          <w:b/>
          <w:sz w:val="32"/>
          <w:szCs w:val="32"/>
        </w:rPr>
      </w:pPr>
      <w:r>
        <w:rPr>
          <w:rFonts w:hint="eastAsia"/>
          <w:b/>
          <w:sz w:val="32"/>
          <w:szCs w:val="32"/>
        </w:rPr>
        <w:t>3.试验条件测定结果</w:t>
      </w:r>
    </w:p>
    <w:tbl>
      <w:tblPr>
        <w:tblStyle w:val="8"/>
        <w:tblW w:w="94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94"/>
        <w:gridCol w:w="1134"/>
        <w:gridCol w:w="4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6" w:hRule="atLeast"/>
          <w:jc w:val="center"/>
        </w:trPr>
        <w:tc>
          <w:tcPr>
            <w:tcW w:w="3794" w:type="dxa"/>
            <w:vAlign w:val="center"/>
          </w:tcPr>
          <w:p>
            <w:pPr>
              <w:jc w:val="center"/>
              <w:rPr>
                <w:rFonts w:ascii="宋体" w:hAnsi="宋体"/>
                <w:sz w:val="24"/>
              </w:rPr>
            </w:pPr>
            <w:r>
              <w:rPr>
                <w:rFonts w:hint="eastAsia" w:ascii="宋体" w:hAnsi="宋体"/>
                <w:sz w:val="24"/>
              </w:rPr>
              <w:t>项目</w:t>
            </w:r>
          </w:p>
        </w:tc>
        <w:tc>
          <w:tcPr>
            <w:tcW w:w="1134" w:type="dxa"/>
            <w:vAlign w:val="center"/>
          </w:tcPr>
          <w:p>
            <w:pPr>
              <w:jc w:val="center"/>
              <w:rPr>
                <w:rFonts w:ascii="宋体" w:hAnsi="宋体"/>
                <w:sz w:val="24"/>
              </w:rPr>
            </w:pPr>
            <w:r>
              <w:rPr>
                <w:rFonts w:hint="eastAsia" w:ascii="宋体" w:hAnsi="宋体"/>
                <w:sz w:val="24"/>
              </w:rPr>
              <w:t>单位</w:t>
            </w:r>
          </w:p>
        </w:tc>
        <w:tc>
          <w:tcPr>
            <w:tcW w:w="4554" w:type="dxa"/>
            <w:vAlign w:val="center"/>
          </w:tcPr>
          <w:p>
            <w:pPr>
              <w:jc w:val="center"/>
              <w:rPr>
                <w:rFonts w:ascii="宋体" w:hAnsi="宋体"/>
                <w:sz w:val="24"/>
              </w:rPr>
            </w:pPr>
            <w:r>
              <w:rPr>
                <w:rFonts w:hint="eastAsia" w:ascii="宋体" w:hAnsi="宋体"/>
                <w:sz w:val="24"/>
                <w:szCs w:val="24"/>
              </w:rPr>
              <w:t>测定结果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9" w:hRule="atLeast"/>
          <w:jc w:val="center"/>
        </w:trPr>
        <w:tc>
          <w:tcPr>
            <w:tcW w:w="3794" w:type="dxa"/>
            <w:vAlign w:val="center"/>
          </w:tcPr>
          <w:p>
            <w:pPr>
              <w:rPr>
                <w:rFonts w:hint="eastAsia" w:ascii="宋体" w:hAnsi="宋体"/>
                <w:bCs/>
                <w:sz w:val="24"/>
              </w:rPr>
            </w:pPr>
            <w:r>
              <w:rPr>
                <w:rFonts w:hint="eastAsia" w:ascii="宋体" w:hAnsi="宋体"/>
                <w:bCs/>
                <w:sz w:val="24"/>
              </w:rPr>
              <w:t>环境温度</w:t>
            </w:r>
          </w:p>
        </w:tc>
        <w:tc>
          <w:tcPr>
            <w:tcW w:w="1134" w:type="dxa"/>
            <w:vAlign w:val="center"/>
          </w:tcPr>
          <w:p>
            <w:pPr>
              <w:jc w:val="center"/>
              <w:rPr>
                <w:rFonts w:hint="eastAsia" w:ascii="宋体" w:hAnsi="宋体"/>
                <w:sz w:val="24"/>
              </w:rPr>
            </w:pPr>
            <w:r>
              <w:rPr>
                <w:rFonts w:hint="eastAsia" w:ascii="宋体" w:hAnsi="宋体"/>
                <w:sz w:val="24"/>
              </w:rPr>
              <w:t>℃</w:t>
            </w:r>
          </w:p>
        </w:tc>
        <w:tc>
          <w:tcPr>
            <w:tcW w:w="4554" w:type="dxa"/>
            <w:vAlign w:val="center"/>
          </w:tcPr>
          <w:p>
            <w:pPr>
              <w:adjustRightInd w:val="0"/>
              <w:snapToGrid w:val="0"/>
              <w:spacing w:line="400" w:lineRule="exact"/>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3794" w:type="dxa"/>
            <w:vAlign w:val="center"/>
          </w:tcPr>
          <w:p>
            <w:pPr>
              <w:rPr>
                <w:rFonts w:hint="eastAsia" w:ascii="宋体" w:hAnsi="宋体"/>
                <w:bCs/>
                <w:sz w:val="24"/>
              </w:rPr>
            </w:pPr>
            <w:r>
              <w:rPr>
                <w:rFonts w:hint="eastAsia" w:ascii="宋体" w:hAnsi="宋体"/>
                <w:bCs/>
                <w:sz w:val="24"/>
              </w:rPr>
              <w:t>环境湿度</w:t>
            </w:r>
          </w:p>
        </w:tc>
        <w:tc>
          <w:tcPr>
            <w:tcW w:w="1134" w:type="dxa"/>
            <w:vAlign w:val="center"/>
          </w:tcPr>
          <w:p>
            <w:pPr>
              <w:jc w:val="center"/>
              <w:rPr>
                <w:rFonts w:hint="eastAsia" w:ascii="宋体" w:hAnsi="宋体"/>
                <w:sz w:val="24"/>
              </w:rPr>
            </w:pPr>
            <w:r>
              <w:rPr>
                <w:rFonts w:hint="eastAsia" w:ascii="宋体" w:hAnsi="宋体"/>
                <w:sz w:val="24"/>
              </w:rPr>
              <w:t>%</w:t>
            </w:r>
          </w:p>
        </w:tc>
        <w:tc>
          <w:tcPr>
            <w:tcW w:w="4554" w:type="dxa"/>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794" w:type="dxa"/>
            <w:vAlign w:val="center"/>
          </w:tcPr>
          <w:p>
            <w:pPr>
              <w:rPr>
                <w:rFonts w:hint="eastAsia" w:ascii="宋体" w:hAnsi="宋体"/>
                <w:bCs/>
                <w:sz w:val="24"/>
              </w:rPr>
            </w:pPr>
            <w:r>
              <w:rPr>
                <w:rFonts w:hint="eastAsia" w:ascii="宋体" w:hAnsi="宋体"/>
                <w:bCs/>
                <w:sz w:val="24"/>
              </w:rPr>
              <w:t>大气压力</w:t>
            </w:r>
          </w:p>
        </w:tc>
        <w:tc>
          <w:tcPr>
            <w:tcW w:w="1134" w:type="dxa"/>
            <w:vAlign w:val="center"/>
          </w:tcPr>
          <w:p>
            <w:pPr>
              <w:jc w:val="center"/>
              <w:rPr>
                <w:rFonts w:hint="eastAsia" w:ascii="宋体" w:hAnsi="宋体"/>
                <w:sz w:val="24"/>
              </w:rPr>
            </w:pPr>
            <w:r>
              <w:rPr>
                <w:rFonts w:hint="eastAsia" w:ascii="宋体" w:hAnsi="宋体"/>
                <w:sz w:val="24"/>
              </w:rPr>
              <w:t>kPa</w:t>
            </w:r>
          </w:p>
        </w:tc>
        <w:tc>
          <w:tcPr>
            <w:tcW w:w="4554" w:type="dxa"/>
            <w:vAlign w:val="center"/>
          </w:tcPr>
          <w:p>
            <w:pPr>
              <w:rPr>
                <w:rFonts w:hint="eastAsia" w:ascii="宋体" w:hAnsi="宋体"/>
                <w:sz w:val="24"/>
              </w:rPr>
            </w:pPr>
          </w:p>
        </w:tc>
      </w:tr>
    </w:tbl>
    <w:p>
      <w:pPr>
        <w:rPr>
          <w:rFonts w:hint="eastAsia" w:ascii="宋体" w:hAnsi="宋体"/>
          <w:b/>
          <w:sz w:val="30"/>
        </w:rPr>
      </w:pPr>
      <w:r>
        <w:rPr>
          <w:rFonts w:hint="eastAsia" w:ascii="宋体" w:hAnsi="宋体"/>
          <w:b/>
          <w:sz w:val="30"/>
        </w:rPr>
        <w:t>4.一致性核测结果</w:t>
      </w:r>
    </w:p>
    <w:tbl>
      <w:tblPr>
        <w:tblStyle w:val="8"/>
        <w:tblW w:w="9265" w:type="dxa"/>
        <w:tblInd w:w="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8"/>
        <w:gridCol w:w="3406"/>
        <w:gridCol w:w="992"/>
        <w:gridCol w:w="1418"/>
        <w:gridCol w:w="127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序号</w:t>
            </w:r>
          </w:p>
        </w:tc>
        <w:tc>
          <w:tcPr>
            <w:tcW w:w="340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项目</w:t>
            </w: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单位</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设计值</w:t>
            </w: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核测结果</w:t>
            </w: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单项判定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w:t>
            </w:r>
          </w:p>
        </w:tc>
        <w:tc>
          <w:tcPr>
            <w:tcW w:w="340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型号名称</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2</w:t>
            </w:r>
          </w:p>
        </w:tc>
        <w:tc>
          <w:tcPr>
            <w:tcW w:w="340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结构型式</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3</w:t>
            </w:r>
          </w:p>
        </w:tc>
        <w:tc>
          <w:tcPr>
            <w:tcW w:w="3406"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jc w:val="left"/>
              <w:rPr>
                <w:rFonts w:hAnsi="宋体"/>
                <w:sz w:val="24"/>
                <w:szCs w:val="24"/>
              </w:rPr>
            </w:pPr>
            <w:r>
              <w:rPr>
                <w:rFonts w:hAnsi="宋体"/>
                <w:sz w:val="24"/>
                <w:szCs w:val="24"/>
              </w:rPr>
              <w:t>适用秧苗类型</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4</w:t>
            </w:r>
          </w:p>
        </w:tc>
        <w:tc>
          <w:tcPr>
            <w:tcW w:w="340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配套拖拉机功率代号</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HP</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5</w:t>
            </w:r>
          </w:p>
        </w:tc>
        <w:tc>
          <w:tcPr>
            <w:tcW w:w="340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配套拖拉机后置三点悬挂类别</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6</w:t>
            </w:r>
          </w:p>
        </w:tc>
        <w:tc>
          <w:tcPr>
            <w:tcW w:w="340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整机外</w:t>
            </w:r>
            <w:r>
              <w:rPr>
                <w:rFonts w:ascii="宋体" w:hAnsi="宋体"/>
                <w:sz w:val="24"/>
                <w:szCs w:val="24"/>
              </w:rPr>
              <w:t>形尺寸(长×宽×高)</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mm</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7</w:t>
            </w:r>
          </w:p>
        </w:tc>
        <w:tc>
          <w:tcPr>
            <w:tcW w:w="340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工作行数</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行</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8</w:t>
            </w:r>
          </w:p>
        </w:tc>
        <w:tc>
          <w:tcPr>
            <w:tcW w:w="3406"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jc w:val="left"/>
              <w:rPr>
                <w:rFonts w:hAnsi="宋体"/>
                <w:sz w:val="24"/>
                <w:szCs w:val="24"/>
              </w:rPr>
            </w:pPr>
            <w:r>
              <w:rPr>
                <w:rFonts w:hAnsi="宋体"/>
                <w:sz w:val="24"/>
                <w:szCs w:val="24"/>
              </w:rPr>
              <w:t>工作幅宽</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9</w:t>
            </w:r>
          </w:p>
        </w:tc>
        <w:tc>
          <w:tcPr>
            <w:tcW w:w="340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取（投）苗方式</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10</w:t>
            </w:r>
          </w:p>
        </w:tc>
        <w:tc>
          <w:tcPr>
            <w:tcW w:w="340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取（投）苗机构型式</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11</w:t>
            </w:r>
          </w:p>
        </w:tc>
        <w:tc>
          <w:tcPr>
            <w:tcW w:w="340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栽植器（臂）型式</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12</w:t>
            </w:r>
          </w:p>
        </w:tc>
        <w:tc>
          <w:tcPr>
            <w:tcW w:w="340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kern w:val="144"/>
                <w:sz w:val="24"/>
                <w:szCs w:val="24"/>
              </w:rPr>
            </w:pPr>
            <w:r>
              <w:rPr>
                <w:rFonts w:ascii="宋体" w:hAnsi="宋体"/>
                <w:sz w:val="24"/>
                <w:szCs w:val="24"/>
              </w:rPr>
              <w:t>行距</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13</w:t>
            </w:r>
          </w:p>
        </w:tc>
        <w:tc>
          <w:tcPr>
            <w:tcW w:w="3406" w:type="dxa"/>
            <w:tcBorders>
              <w:top w:val="single" w:color="auto" w:sz="4" w:space="0"/>
              <w:left w:val="single" w:color="auto" w:sz="4" w:space="0"/>
              <w:bottom w:val="single" w:color="auto" w:sz="4" w:space="0"/>
              <w:right w:val="single" w:color="auto" w:sz="4" w:space="0"/>
            </w:tcBorders>
          </w:tcPr>
          <w:p>
            <w:pPr>
              <w:pStyle w:val="15"/>
              <w:widowControl w:val="0"/>
              <w:ind w:firstLine="0" w:firstLineChars="0"/>
              <w:contextualSpacing/>
              <w:jc w:val="left"/>
              <w:rPr>
                <w:rFonts w:hAnsi="宋体"/>
                <w:kern w:val="2"/>
                <w:sz w:val="24"/>
                <w:szCs w:val="24"/>
              </w:rPr>
            </w:pPr>
            <w:r>
              <w:rPr>
                <w:rFonts w:hAnsi="宋体"/>
                <w:sz w:val="24"/>
                <w:szCs w:val="24"/>
              </w:rPr>
              <w:t>穴距（调节范围）</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14</w:t>
            </w:r>
          </w:p>
        </w:tc>
        <w:tc>
          <w:tcPr>
            <w:tcW w:w="3406"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jc w:val="left"/>
              <w:rPr>
                <w:rFonts w:hAnsi="宋体"/>
                <w:sz w:val="24"/>
                <w:szCs w:val="24"/>
              </w:rPr>
            </w:pPr>
            <w:r>
              <w:rPr>
                <w:rFonts w:hAnsi="宋体"/>
                <w:sz w:val="24"/>
                <w:szCs w:val="24"/>
              </w:rPr>
              <w:t>耕整地机构型式</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15</w:t>
            </w:r>
          </w:p>
        </w:tc>
        <w:tc>
          <w:tcPr>
            <w:tcW w:w="3406"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jc w:val="left"/>
              <w:rPr>
                <w:rFonts w:hAnsi="宋体"/>
                <w:sz w:val="24"/>
                <w:szCs w:val="24"/>
              </w:rPr>
            </w:pPr>
            <w:r>
              <w:rPr>
                <w:rFonts w:hAnsi="宋体"/>
                <w:sz w:val="24"/>
                <w:szCs w:val="24"/>
              </w:rPr>
              <w:t>旋耕刀型号</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16</w:t>
            </w:r>
          </w:p>
        </w:tc>
        <w:tc>
          <w:tcPr>
            <w:tcW w:w="3406"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jc w:val="left"/>
              <w:rPr>
                <w:rFonts w:hAnsi="宋体"/>
                <w:sz w:val="24"/>
                <w:szCs w:val="24"/>
              </w:rPr>
            </w:pPr>
            <w:r>
              <w:rPr>
                <w:rFonts w:hAnsi="宋体"/>
                <w:sz w:val="24"/>
                <w:szCs w:val="24"/>
              </w:rPr>
              <w:t>旋耕刀总安装刀数</w:t>
            </w:r>
          </w:p>
        </w:tc>
        <w:tc>
          <w:tcPr>
            <w:tcW w:w="99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把</w:t>
            </w:r>
          </w:p>
        </w:tc>
        <w:tc>
          <w:tcPr>
            <w:tcW w:w="141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trPr>
        <w:tc>
          <w:tcPr>
            <w:tcW w:w="898" w:type="dxa"/>
            <w:vAlign w:val="center"/>
          </w:tcPr>
          <w:p>
            <w:pPr>
              <w:adjustRightInd w:val="0"/>
              <w:snapToGrid w:val="0"/>
              <w:ind w:right="57"/>
              <w:jc w:val="center"/>
              <w:rPr>
                <w:rFonts w:hint="eastAsia" w:ascii="宋体" w:hAnsi="宋体"/>
                <w:sz w:val="24"/>
                <w:szCs w:val="24"/>
              </w:rPr>
            </w:pPr>
            <w:r>
              <w:rPr>
                <w:rFonts w:hint="eastAsia" w:ascii="宋体" w:hAnsi="宋体"/>
                <w:sz w:val="24"/>
                <w:szCs w:val="24"/>
              </w:rPr>
              <w:t>备注</w:t>
            </w:r>
          </w:p>
        </w:tc>
        <w:tc>
          <w:tcPr>
            <w:tcW w:w="8367" w:type="dxa"/>
            <w:gridSpan w:val="5"/>
            <w:vAlign w:val="center"/>
          </w:tcPr>
          <w:p>
            <w:pPr>
              <w:adjustRightInd w:val="0"/>
              <w:snapToGrid w:val="0"/>
              <w:ind w:right="57"/>
              <w:rPr>
                <w:rFonts w:hint="eastAsia" w:ascii="宋体" w:hAnsi="宋体"/>
                <w:sz w:val="24"/>
                <w:szCs w:val="24"/>
              </w:rPr>
            </w:pPr>
            <w:r>
              <w:rPr>
                <w:rFonts w:hint="eastAsia" w:ascii="宋体" w:hAnsi="宋体"/>
                <w:sz w:val="24"/>
                <w:szCs w:val="24"/>
              </w:rPr>
              <w:t>测量值允许误差±5%，其它核对技术文件；核测结果符合要求，单项判定填写“＋”；核测结果不符合要求，单项判定填写“－”；样机出厂编号及出厂日期：××××/××××。</w:t>
            </w:r>
          </w:p>
        </w:tc>
      </w:tr>
    </w:tbl>
    <w:p>
      <w:pPr>
        <w:rPr>
          <w:rFonts w:hint="eastAsia"/>
          <w:b/>
          <w:sz w:val="32"/>
          <w:szCs w:val="32"/>
        </w:rPr>
      </w:pPr>
      <w:r>
        <w:rPr>
          <w:rFonts w:hint="eastAsia" w:ascii="宋体" w:hAnsi="宋体"/>
          <w:b/>
          <w:sz w:val="30"/>
        </w:rPr>
        <w:t>5.</w:t>
      </w:r>
      <w:r>
        <w:rPr>
          <w:rFonts w:hint="eastAsia"/>
          <w:b/>
          <w:sz w:val="32"/>
          <w:szCs w:val="32"/>
        </w:rPr>
        <w:t>安全性检查结果</w:t>
      </w:r>
    </w:p>
    <w:tbl>
      <w:tblPr>
        <w:tblStyle w:val="8"/>
        <w:tblW w:w="90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709"/>
        <w:gridCol w:w="4961"/>
        <w:gridCol w:w="1332"/>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9" w:hRule="atLeast"/>
          <w:jc w:val="center"/>
        </w:trPr>
        <w:tc>
          <w:tcPr>
            <w:tcW w:w="1487"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项目</w:t>
            </w:r>
          </w:p>
        </w:tc>
        <w:tc>
          <w:tcPr>
            <w:tcW w:w="4961"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合格指标</w:t>
            </w:r>
          </w:p>
        </w:tc>
        <w:tc>
          <w:tcPr>
            <w:tcW w:w="1332"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检查结果</w:t>
            </w:r>
          </w:p>
        </w:tc>
        <w:tc>
          <w:tcPr>
            <w:tcW w:w="1259" w:type="dxa"/>
            <w:tcBorders>
              <w:top w:val="single" w:color="auto" w:sz="2" w:space="0"/>
              <w:left w:val="single" w:color="auto" w:sz="2" w:space="0"/>
              <w:bottom w:val="single" w:color="auto" w:sz="2" w:space="0"/>
              <w:right w:val="single" w:color="auto" w:sz="2" w:space="0"/>
            </w:tcBorders>
            <w:vAlign w:val="center"/>
          </w:tcPr>
          <w:p>
            <w:pPr>
              <w:jc w:val="left"/>
              <w:rPr>
                <w:sz w:val="24"/>
                <w:szCs w:val="24"/>
              </w:rPr>
            </w:pPr>
            <w:r>
              <w:rPr>
                <w:rFonts w:hint="eastAsia"/>
                <w:sz w:val="24"/>
                <w:szCs w:val="24"/>
              </w:rPr>
              <w:t>单项判定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6" w:hRule="atLeast"/>
          <w:jc w:val="center"/>
        </w:trPr>
        <w:tc>
          <w:tcPr>
            <w:tcW w:w="778" w:type="dxa"/>
            <w:vMerge w:val="restart"/>
            <w:tcBorders>
              <w:top w:val="single" w:color="auto" w:sz="2" w:space="0"/>
              <w:left w:val="single" w:color="auto" w:sz="2" w:space="0"/>
              <w:right w:val="single" w:color="auto" w:sz="2" w:space="0"/>
            </w:tcBorders>
            <w:vAlign w:val="center"/>
          </w:tcPr>
          <w:p>
            <w:pPr>
              <w:pStyle w:val="3"/>
              <w:rPr>
                <w:rFonts w:hint="eastAsia" w:ascii="宋体" w:hAnsi="宋体" w:eastAsia="宋体"/>
                <w:sz w:val="24"/>
                <w:szCs w:val="24"/>
              </w:rPr>
            </w:pPr>
            <w:r>
              <w:rPr>
                <w:rFonts w:hint="eastAsia" w:ascii="宋体" w:hAnsi="宋体" w:eastAsia="宋体"/>
                <w:sz w:val="24"/>
                <w:szCs w:val="24"/>
              </w:rPr>
              <w:t>安</w:t>
            </w:r>
          </w:p>
          <w:p>
            <w:pPr>
              <w:pStyle w:val="3"/>
              <w:rPr>
                <w:rFonts w:hint="eastAsia" w:ascii="宋体" w:hAnsi="宋体" w:eastAsia="宋体"/>
                <w:sz w:val="24"/>
                <w:szCs w:val="24"/>
              </w:rPr>
            </w:pPr>
            <w:r>
              <w:rPr>
                <w:rFonts w:hint="eastAsia" w:ascii="宋体" w:hAnsi="宋体" w:eastAsia="宋体"/>
                <w:sz w:val="24"/>
                <w:szCs w:val="24"/>
              </w:rPr>
              <w:t>全</w:t>
            </w:r>
          </w:p>
          <w:p>
            <w:pPr>
              <w:pStyle w:val="3"/>
              <w:rPr>
                <w:rFonts w:hint="eastAsia" w:ascii="宋体" w:hAnsi="宋体" w:eastAsia="宋体"/>
                <w:sz w:val="24"/>
                <w:szCs w:val="24"/>
              </w:rPr>
            </w:pPr>
            <w:r>
              <w:rPr>
                <w:rFonts w:hint="eastAsia" w:ascii="宋体" w:hAnsi="宋体" w:eastAsia="宋体"/>
                <w:sz w:val="24"/>
                <w:szCs w:val="24"/>
              </w:rPr>
              <w:t>性</w:t>
            </w:r>
          </w:p>
          <w:p>
            <w:pPr>
              <w:pStyle w:val="3"/>
              <w:rPr>
                <w:rFonts w:hint="eastAsia" w:ascii="宋体" w:hAnsi="宋体" w:eastAsia="宋体"/>
                <w:sz w:val="24"/>
                <w:szCs w:val="24"/>
              </w:rPr>
            </w:pPr>
            <w:r>
              <w:rPr>
                <w:rFonts w:hint="eastAsia" w:ascii="宋体" w:hAnsi="宋体" w:eastAsia="宋体"/>
                <w:sz w:val="24"/>
                <w:szCs w:val="24"/>
              </w:rPr>
              <w:t>检</w:t>
            </w:r>
          </w:p>
          <w:p>
            <w:pPr>
              <w:jc w:val="center"/>
              <w:rPr>
                <w:rFonts w:hint="eastAsia" w:ascii="宋体" w:hAnsi="宋体"/>
                <w:szCs w:val="24"/>
              </w:rPr>
            </w:pPr>
            <w:r>
              <w:rPr>
                <w:rFonts w:hint="eastAsia" w:ascii="宋体" w:hAnsi="宋体"/>
                <w:sz w:val="24"/>
                <w:szCs w:val="24"/>
              </w:rPr>
              <w:t>查</w:t>
            </w:r>
          </w:p>
        </w:tc>
        <w:tc>
          <w:tcPr>
            <w:tcW w:w="709" w:type="dxa"/>
            <w:vMerge w:val="restart"/>
            <w:tcBorders>
              <w:top w:val="single" w:color="auto" w:sz="2" w:space="0"/>
              <w:left w:val="single" w:color="auto" w:sz="2"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安</w:t>
            </w:r>
          </w:p>
          <w:p>
            <w:pPr>
              <w:jc w:val="center"/>
              <w:rPr>
                <w:rFonts w:hint="eastAsia" w:ascii="宋体" w:hAnsi="宋体"/>
                <w:sz w:val="24"/>
                <w:szCs w:val="24"/>
              </w:rPr>
            </w:pPr>
            <w:r>
              <w:rPr>
                <w:rFonts w:hint="eastAsia" w:ascii="宋体" w:hAnsi="宋体"/>
                <w:sz w:val="24"/>
                <w:szCs w:val="24"/>
              </w:rPr>
              <w:t>全</w:t>
            </w:r>
          </w:p>
          <w:p>
            <w:pPr>
              <w:jc w:val="center"/>
              <w:rPr>
                <w:rFonts w:hint="eastAsia" w:ascii="宋体" w:hAnsi="宋体"/>
                <w:sz w:val="24"/>
                <w:szCs w:val="24"/>
              </w:rPr>
            </w:pPr>
            <w:r>
              <w:rPr>
                <w:rFonts w:hint="eastAsia" w:ascii="宋体" w:hAnsi="宋体"/>
                <w:sz w:val="24"/>
                <w:szCs w:val="24"/>
              </w:rPr>
              <w:t>防</w:t>
            </w:r>
          </w:p>
          <w:p>
            <w:pPr>
              <w:jc w:val="center"/>
              <w:rPr>
                <w:rFonts w:hint="eastAsia" w:ascii="宋体" w:hAnsi="宋体"/>
                <w:sz w:val="24"/>
                <w:szCs w:val="24"/>
              </w:rPr>
            </w:pPr>
            <w:r>
              <w:rPr>
                <w:rFonts w:hint="eastAsia" w:ascii="宋体" w:hAnsi="宋体"/>
                <w:sz w:val="24"/>
                <w:szCs w:val="24"/>
              </w:rPr>
              <w:t>护</w:t>
            </w:r>
          </w:p>
        </w:tc>
        <w:tc>
          <w:tcPr>
            <w:tcW w:w="4961" w:type="dxa"/>
            <w:tcBorders>
              <w:top w:val="single" w:color="auto" w:sz="2" w:space="0"/>
              <w:left w:val="single" w:color="auto" w:sz="2" w:space="0"/>
              <w:bottom w:val="single" w:color="auto" w:sz="4" w:space="0"/>
              <w:right w:val="single" w:color="auto" w:sz="2" w:space="0"/>
            </w:tcBorders>
            <w:vAlign w:val="center"/>
          </w:tcPr>
          <w:p>
            <w:pPr>
              <w:rPr>
                <w:rFonts w:hint="eastAsia"/>
                <w:sz w:val="24"/>
                <w:szCs w:val="24"/>
              </w:rPr>
            </w:pPr>
            <w:r>
              <w:rPr>
                <w:rFonts w:hint="eastAsia" w:ascii="宋体" w:hAnsi="宋体"/>
                <w:sz w:val="24"/>
                <w:szCs w:val="24"/>
              </w:rPr>
              <w:t>外露的回转件部件应有可靠的安全防护装置。</w:t>
            </w:r>
          </w:p>
        </w:tc>
        <w:tc>
          <w:tcPr>
            <w:tcW w:w="1332" w:type="dxa"/>
            <w:tcBorders>
              <w:top w:val="single" w:color="auto" w:sz="2"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c>
          <w:tcPr>
            <w:tcW w:w="1259" w:type="dxa"/>
            <w:tcBorders>
              <w:top w:val="single" w:color="auto" w:sz="2"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4" w:hRule="atLeast"/>
          <w:jc w:val="center"/>
        </w:trPr>
        <w:tc>
          <w:tcPr>
            <w:tcW w:w="778" w:type="dxa"/>
            <w:vMerge w:val="continue"/>
            <w:tcBorders>
              <w:left w:val="single" w:color="auto" w:sz="2" w:space="0"/>
              <w:right w:val="single" w:color="auto" w:sz="2" w:space="0"/>
            </w:tcBorders>
            <w:vAlign w:val="center"/>
          </w:tcPr>
          <w:p>
            <w:pPr>
              <w:jc w:val="center"/>
              <w:rPr>
                <w:rFonts w:hint="eastAsia" w:ascii="宋体" w:hAnsi="宋体"/>
                <w:szCs w:val="24"/>
              </w:rPr>
            </w:pPr>
          </w:p>
        </w:tc>
        <w:tc>
          <w:tcPr>
            <w:tcW w:w="709"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sz w:val="24"/>
                <w:szCs w:val="24"/>
              </w:rPr>
            </w:pPr>
            <w:r>
              <w:rPr>
                <w:rFonts w:hint="eastAsia" w:ascii="宋体" w:hAnsi="宋体"/>
                <w:sz w:val="24"/>
                <w:szCs w:val="24"/>
              </w:rPr>
              <w:t>操作者工作台应平坦、表面应防滑，必要时应有排水措施。装载台通道最小宽度应为450mm,从后到前的最小深度应为300mm,最小面积为0.18m</w:t>
            </w:r>
            <w:r>
              <w:rPr>
                <w:rFonts w:hint="eastAsia" w:ascii="宋体" w:hAnsi="宋体"/>
                <w:sz w:val="24"/>
                <w:szCs w:val="24"/>
                <w:vertAlign w:val="superscript"/>
              </w:rPr>
              <w:t>2</w:t>
            </w:r>
            <w:r>
              <w:rPr>
                <w:rFonts w:hint="eastAsia" w:ascii="宋体" w:hAnsi="宋体"/>
                <w:sz w:val="24"/>
                <w:szCs w:val="24"/>
              </w:rPr>
              <w:t>。</w:t>
            </w:r>
          </w:p>
        </w:tc>
        <w:tc>
          <w:tcPr>
            <w:tcW w:w="1332"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c>
          <w:tcPr>
            <w:tcW w:w="1259"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4" w:hRule="atLeast"/>
          <w:jc w:val="center"/>
        </w:trPr>
        <w:tc>
          <w:tcPr>
            <w:tcW w:w="778" w:type="dxa"/>
            <w:vMerge w:val="continue"/>
            <w:tcBorders>
              <w:left w:val="single" w:color="auto" w:sz="2" w:space="0"/>
              <w:right w:val="single" w:color="auto" w:sz="2" w:space="0"/>
            </w:tcBorders>
            <w:vAlign w:val="center"/>
          </w:tcPr>
          <w:p>
            <w:pPr>
              <w:jc w:val="center"/>
              <w:rPr>
                <w:rFonts w:hint="eastAsia" w:ascii="宋体" w:hAnsi="宋体"/>
                <w:szCs w:val="24"/>
              </w:rPr>
            </w:pPr>
          </w:p>
        </w:tc>
        <w:tc>
          <w:tcPr>
            <w:tcW w:w="709"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hAnsi="宋体"/>
                <w:sz w:val="24"/>
              </w:rPr>
            </w:pPr>
            <w:r>
              <w:rPr>
                <w:rFonts w:hint="eastAsia" w:ascii="宋体"/>
                <w:sz w:val="24"/>
              </w:rPr>
              <w:t>进入操作者工作位置的梯子两侧应设置扶手或扶栏，结构上应使操作者与机器始终保持三点接触支撑状态。</w:t>
            </w:r>
          </w:p>
        </w:tc>
        <w:tc>
          <w:tcPr>
            <w:tcW w:w="1332"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c>
          <w:tcPr>
            <w:tcW w:w="1259"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79" w:hRule="atLeast"/>
          <w:jc w:val="center"/>
        </w:trPr>
        <w:tc>
          <w:tcPr>
            <w:tcW w:w="778" w:type="dxa"/>
            <w:vMerge w:val="continue"/>
            <w:tcBorders>
              <w:left w:val="single" w:color="auto" w:sz="2" w:space="0"/>
              <w:right w:val="single" w:color="auto" w:sz="2" w:space="0"/>
            </w:tcBorders>
            <w:vAlign w:val="center"/>
          </w:tcPr>
          <w:p>
            <w:pPr>
              <w:jc w:val="center"/>
              <w:rPr>
                <w:rFonts w:hint="eastAsia" w:ascii="宋体" w:hAnsi="宋体"/>
                <w:szCs w:val="24"/>
              </w:rPr>
            </w:pPr>
          </w:p>
        </w:tc>
        <w:tc>
          <w:tcPr>
            <w:tcW w:w="709"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sz w:val="24"/>
              </w:rPr>
            </w:pPr>
            <w:r>
              <w:rPr>
                <w:rFonts w:hint="eastAsia" w:ascii="宋体" w:hAnsi="宋体"/>
                <w:sz w:val="24"/>
                <w:szCs w:val="24"/>
              </w:rPr>
              <w:t>操作者关键操纵装置附近应粘贴适合操作者操作的文种的操作符号;</w:t>
            </w:r>
            <w:r>
              <w:rPr>
                <w:rFonts w:hint="eastAsia" w:ascii="宋体"/>
                <w:sz w:val="24"/>
              </w:rPr>
              <w:t>所有操纵装置周围应有最小25mm的间隙。扶手/扶栏较低端离地高度应不大于1500mm，除连接处外，扶手/扶栏与相邻部件间的最小放手间隙为50mm。</w:t>
            </w:r>
          </w:p>
        </w:tc>
        <w:tc>
          <w:tcPr>
            <w:tcW w:w="1332"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c>
          <w:tcPr>
            <w:tcW w:w="1259"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3" w:hRule="atLeast"/>
          <w:jc w:val="center"/>
        </w:trPr>
        <w:tc>
          <w:tcPr>
            <w:tcW w:w="778"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709"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jc w:val="left"/>
              <w:rPr>
                <w:rFonts w:hint="eastAsia" w:ascii="宋体" w:hAnsi="宋体"/>
                <w:sz w:val="24"/>
                <w:szCs w:val="24"/>
              </w:rPr>
            </w:pPr>
            <w:r>
              <w:rPr>
                <w:rFonts w:hint="eastAsia" w:ascii="宋体" w:hAnsi="宋体"/>
                <w:sz w:val="24"/>
                <w:szCs w:val="24"/>
              </w:rPr>
              <w:t>在距进入操作者工作位置的梯子最高一级台阶/橫档高850mm～1100mm间应设可抓握的</w:t>
            </w:r>
            <w:r>
              <w:rPr>
                <w:rFonts w:hint="eastAsia" w:ascii="宋体"/>
                <w:sz w:val="24"/>
              </w:rPr>
              <w:t>扶手/扶栏，扶手/扶栏长度至少应为150mm。</w:t>
            </w:r>
          </w:p>
        </w:tc>
        <w:tc>
          <w:tcPr>
            <w:tcW w:w="1332"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259"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33" w:hRule="atLeast"/>
          <w:jc w:val="center"/>
        </w:trPr>
        <w:tc>
          <w:tcPr>
            <w:tcW w:w="778" w:type="dxa"/>
            <w:vMerge w:val="continue"/>
            <w:tcBorders>
              <w:left w:val="single" w:color="auto" w:sz="2" w:space="0"/>
              <w:right w:val="single" w:color="auto" w:sz="2" w:space="0"/>
            </w:tcBorders>
            <w:vAlign w:val="center"/>
          </w:tcPr>
          <w:p>
            <w:pPr>
              <w:pStyle w:val="3"/>
              <w:rPr>
                <w:rFonts w:hint="eastAsia" w:ascii="宋体" w:hAnsi="宋体"/>
                <w:szCs w:val="24"/>
              </w:rPr>
            </w:pPr>
          </w:p>
        </w:tc>
        <w:tc>
          <w:tcPr>
            <w:tcW w:w="709"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jc w:val="left"/>
              <w:rPr>
                <w:rFonts w:hint="eastAsia" w:ascii="宋体" w:hAnsi="宋体"/>
                <w:sz w:val="24"/>
                <w:szCs w:val="24"/>
              </w:rPr>
            </w:pPr>
            <w:r>
              <w:rPr>
                <w:rFonts w:hint="eastAsia" w:ascii="宋体" w:hAnsi="宋体"/>
                <w:sz w:val="24"/>
                <w:szCs w:val="24"/>
              </w:rPr>
              <w:t>梯子脚踏板宽度≥300mm, 梯子脚踏板（纵向）厚度≥50mm, 梯子脚踏板纵向深度≥150mm,最低一级踏板表面离地高度≤550mm,台阶应有防滑面，各端应有侧挡板。</w:t>
            </w:r>
          </w:p>
        </w:tc>
        <w:tc>
          <w:tcPr>
            <w:tcW w:w="1332"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259"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778" w:type="dxa"/>
            <w:vMerge w:val="continue"/>
            <w:tcBorders>
              <w:left w:val="single" w:color="auto" w:sz="2" w:space="0"/>
              <w:right w:val="single" w:color="auto" w:sz="2" w:space="0"/>
            </w:tcBorders>
            <w:vAlign w:val="center"/>
          </w:tcPr>
          <w:p>
            <w:pPr>
              <w:pStyle w:val="3"/>
              <w:rPr>
                <w:rFonts w:hint="eastAsia" w:ascii="宋体" w:hAnsi="宋体"/>
                <w:szCs w:val="24"/>
              </w:rPr>
            </w:pPr>
          </w:p>
        </w:tc>
        <w:tc>
          <w:tcPr>
            <w:tcW w:w="709"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jc w:val="left"/>
              <w:rPr>
                <w:rFonts w:hint="eastAsia" w:ascii="宋体" w:hAnsi="宋体"/>
                <w:sz w:val="24"/>
                <w:szCs w:val="24"/>
              </w:rPr>
            </w:pPr>
            <w:r>
              <w:rPr>
                <w:rFonts w:hint="eastAsia" w:ascii="宋体" w:hAnsi="宋体"/>
                <w:sz w:val="24"/>
                <w:szCs w:val="24"/>
              </w:rPr>
              <w:t>操纵机构及其所处不同位置应易于辨识，并应在产品使用说明书中予以描述。</w:t>
            </w:r>
          </w:p>
        </w:tc>
        <w:tc>
          <w:tcPr>
            <w:tcW w:w="1332"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259"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2" w:hRule="atLeast"/>
          <w:jc w:val="center"/>
        </w:trPr>
        <w:tc>
          <w:tcPr>
            <w:tcW w:w="778" w:type="dxa"/>
            <w:vMerge w:val="continue"/>
            <w:tcBorders>
              <w:left w:val="single" w:color="auto" w:sz="2" w:space="0"/>
              <w:right w:val="single" w:color="auto" w:sz="2" w:space="0"/>
            </w:tcBorders>
            <w:vAlign w:val="center"/>
          </w:tcPr>
          <w:p>
            <w:pPr>
              <w:pStyle w:val="3"/>
              <w:rPr>
                <w:rFonts w:hint="eastAsia" w:ascii="宋体" w:hAnsi="宋体"/>
                <w:szCs w:val="24"/>
              </w:rPr>
            </w:pPr>
          </w:p>
        </w:tc>
        <w:tc>
          <w:tcPr>
            <w:tcW w:w="709"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jc w:val="left"/>
              <w:rPr>
                <w:rFonts w:hint="eastAsia" w:ascii="宋体" w:hAnsi="宋体"/>
                <w:sz w:val="24"/>
                <w:szCs w:val="24"/>
              </w:rPr>
            </w:pPr>
            <w:r>
              <w:rPr>
                <w:rFonts w:hint="eastAsia" w:ascii="宋体" w:hAnsi="宋体"/>
                <w:sz w:val="24"/>
                <w:szCs w:val="24"/>
              </w:rPr>
              <w:t>设计的机器以任何方向停放在坡度为8.5°的坚硬地面上应保持稳定。</w:t>
            </w:r>
          </w:p>
        </w:tc>
        <w:tc>
          <w:tcPr>
            <w:tcW w:w="1332"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259"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8" w:hRule="atLeast"/>
          <w:jc w:val="center"/>
        </w:trPr>
        <w:tc>
          <w:tcPr>
            <w:tcW w:w="778" w:type="dxa"/>
            <w:vMerge w:val="continue"/>
            <w:tcBorders>
              <w:left w:val="single" w:color="auto" w:sz="2" w:space="0"/>
              <w:right w:val="single" w:color="auto" w:sz="2" w:space="0"/>
            </w:tcBorders>
            <w:vAlign w:val="center"/>
          </w:tcPr>
          <w:p>
            <w:pPr>
              <w:pStyle w:val="3"/>
              <w:rPr>
                <w:rFonts w:hint="eastAsia" w:ascii="宋体" w:hAnsi="宋体"/>
                <w:szCs w:val="24"/>
              </w:rPr>
            </w:pPr>
          </w:p>
        </w:tc>
        <w:tc>
          <w:tcPr>
            <w:tcW w:w="709"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jc w:val="left"/>
              <w:rPr>
                <w:rFonts w:hint="eastAsia" w:ascii="宋体" w:hAnsi="宋体"/>
                <w:sz w:val="24"/>
                <w:szCs w:val="24"/>
              </w:rPr>
            </w:pPr>
            <w:r>
              <w:rPr>
                <w:rFonts w:hint="eastAsia" w:ascii="宋体" w:hAnsi="宋体"/>
                <w:sz w:val="24"/>
                <w:szCs w:val="24"/>
              </w:rPr>
              <w:t>支撑装置（如支座、支架）应设有接地压力限值最大为400kPa的承载面。</w:t>
            </w:r>
          </w:p>
        </w:tc>
        <w:tc>
          <w:tcPr>
            <w:tcW w:w="1332"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259"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4" w:hRule="atLeast"/>
          <w:jc w:val="center"/>
        </w:trPr>
        <w:tc>
          <w:tcPr>
            <w:tcW w:w="778" w:type="dxa"/>
            <w:vMerge w:val="continue"/>
            <w:tcBorders>
              <w:left w:val="single" w:color="auto" w:sz="2" w:space="0"/>
              <w:right w:val="single" w:color="auto" w:sz="2" w:space="0"/>
            </w:tcBorders>
            <w:vAlign w:val="center"/>
          </w:tcPr>
          <w:p>
            <w:pPr>
              <w:pStyle w:val="3"/>
              <w:rPr>
                <w:rFonts w:hint="eastAsia" w:ascii="宋体" w:hAnsi="宋体"/>
                <w:szCs w:val="24"/>
              </w:rPr>
            </w:pPr>
          </w:p>
        </w:tc>
        <w:tc>
          <w:tcPr>
            <w:tcW w:w="709"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jc w:val="left"/>
              <w:rPr>
                <w:rFonts w:hint="eastAsia" w:ascii="宋体" w:hAnsi="宋体"/>
                <w:sz w:val="24"/>
                <w:szCs w:val="24"/>
              </w:rPr>
            </w:pPr>
            <w:r>
              <w:rPr>
                <w:rFonts w:hint="eastAsia" w:ascii="宋体" w:hAnsi="宋体"/>
                <w:sz w:val="24"/>
                <w:szCs w:val="24"/>
              </w:rPr>
              <w:t>万向节传动轴应有可靠的安全防护装置，其防护装置与动力输入轴防护罩重叠量应不少于50mm。</w:t>
            </w:r>
          </w:p>
        </w:tc>
        <w:tc>
          <w:tcPr>
            <w:tcW w:w="1332"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259"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71" w:hRule="atLeast"/>
          <w:jc w:val="center"/>
        </w:trPr>
        <w:tc>
          <w:tcPr>
            <w:tcW w:w="778"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709" w:type="dxa"/>
            <w:vMerge w:val="continue"/>
            <w:tcBorders>
              <w:left w:val="single" w:color="auto" w:sz="2"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jc w:val="left"/>
              <w:rPr>
                <w:rFonts w:hint="eastAsia" w:ascii="宋体" w:hAnsi="宋体"/>
                <w:sz w:val="24"/>
                <w:szCs w:val="24"/>
              </w:rPr>
            </w:pPr>
            <w:r>
              <w:rPr>
                <w:rFonts w:hint="eastAsia" w:ascii="宋体" w:hAnsi="宋体"/>
                <w:sz w:val="24"/>
                <w:szCs w:val="24"/>
              </w:rPr>
              <w:t>前部防护：应从工作部件最外端运动轨迹向前延伸不小于200mm，从机器两侧向内延伸至下悬挂点，防护的离地高度≤(400+f)mm。如还采用间隔式防护时，防护屏障的间隙不大于60mm。(f指制造厂使用说明书明示的耕作深度)</w:t>
            </w:r>
          </w:p>
        </w:tc>
        <w:tc>
          <w:tcPr>
            <w:tcW w:w="1332"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259"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bl>
    <w:p>
      <w:pPr>
        <w:rPr>
          <w:rFonts w:hint="eastAsia"/>
        </w:rPr>
      </w:pPr>
      <w:r>
        <w:br w:type="page"/>
      </w:r>
      <w:r>
        <w:rPr>
          <w:rFonts w:hint="eastAsia" w:ascii="宋体" w:hAnsi="宋体"/>
          <w:b/>
          <w:sz w:val="30"/>
        </w:rPr>
        <w:t>5.</w:t>
      </w:r>
      <w:r>
        <w:rPr>
          <w:rFonts w:hint="eastAsia"/>
          <w:b/>
          <w:sz w:val="32"/>
          <w:szCs w:val="32"/>
        </w:rPr>
        <w:t>安全性检查结果（续一）</w:t>
      </w:r>
    </w:p>
    <w:tbl>
      <w:tblPr>
        <w:tblStyle w:val="8"/>
        <w:tblW w:w="90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709"/>
        <w:gridCol w:w="4961"/>
        <w:gridCol w:w="1276"/>
        <w:gridCol w:w="13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8" w:hRule="atLeast"/>
          <w:jc w:val="center"/>
        </w:trPr>
        <w:tc>
          <w:tcPr>
            <w:tcW w:w="1487" w:type="dxa"/>
            <w:gridSpan w:val="2"/>
            <w:tcBorders>
              <w:left w:val="single" w:color="auto" w:sz="2"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项目</w:t>
            </w:r>
          </w:p>
        </w:tc>
        <w:tc>
          <w:tcPr>
            <w:tcW w:w="4961"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合格指标</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检查结果</w:t>
            </w: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sz w:val="24"/>
                <w:szCs w:val="24"/>
              </w:rPr>
            </w:pPr>
            <w:r>
              <w:rPr>
                <w:rFonts w:hint="eastAsia"/>
                <w:sz w:val="24"/>
                <w:szCs w:val="24"/>
              </w:rPr>
              <w:t>单项判定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91" w:hRule="atLeast"/>
          <w:jc w:val="center"/>
        </w:trPr>
        <w:tc>
          <w:tcPr>
            <w:tcW w:w="778" w:type="dxa"/>
            <w:vMerge w:val="restart"/>
            <w:tcBorders>
              <w:left w:val="single" w:color="auto" w:sz="2" w:space="0"/>
              <w:right w:val="single" w:color="auto" w:sz="4" w:space="0"/>
            </w:tcBorders>
            <w:vAlign w:val="center"/>
          </w:tcPr>
          <w:p>
            <w:pPr>
              <w:pStyle w:val="3"/>
              <w:rPr>
                <w:rFonts w:hint="eastAsia" w:ascii="宋体" w:hAnsi="宋体" w:eastAsia="宋体"/>
                <w:sz w:val="24"/>
                <w:szCs w:val="24"/>
              </w:rPr>
            </w:pPr>
            <w:r>
              <w:rPr>
                <w:rFonts w:hint="eastAsia" w:ascii="宋体" w:hAnsi="宋体" w:eastAsia="宋体"/>
                <w:sz w:val="24"/>
                <w:szCs w:val="24"/>
              </w:rPr>
              <w:t>安</w:t>
            </w:r>
          </w:p>
          <w:p>
            <w:pPr>
              <w:pStyle w:val="3"/>
              <w:rPr>
                <w:rFonts w:hint="eastAsia" w:ascii="宋体" w:hAnsi="宋体" w:eastAsia="宋体"/>
                <w:sz w:val="24"/>
                <w:szCs w:val="24"/>
              </w:rPr>
            </w:pPr>
            <w:r>
              <w:rPr>
                <w:rFonts w:hint="eastAsia" w:ascii="宋体" w:hAnsi="宋体" w:eastAsia="宋体"/>
                <w:sz w:val="24"/>
                <w:szCs w:val="24"/>
              </w:rPr>
              <w:t>全</w:t>
            </w:r>
          </w:p>
          <w:p>
            <w:pPr>
              <w:pStyle w:val="3"/>
              <w:rPr>
                <w:rFonts w:hint="eastAsia" w:ascii="宋体" w:hAnsi="宋体" w:eastAsia="宋体"/>
                <w:sz w:val="24"/>
                <w:szCs w:val="24"/>
              </w:rPr>
            </w:pPr>
            <w:r>
              <w:rPr>
                <w:rFonts w:hint="eastAsia" w:ascii="宋体" w:hAnsi="宋体" w:eastAsia="宋体"/>
                <w:sz w:val="24"/>
                <w:szCs w:val="24"/>
              </w:rPr>
              <w:t>性</w:t>
            </w:r>
          </w:p>
          <w:p>
            <w:pPr>
              <w:pStyle w:val="3"/>
              <w:rPr>
                <w:rFonts w:hint="eastAsia" w:ascii="宋体" w:hAnsi="宋体" w:eastAsia="宋体"/>
                <w:sz w:val="24"/>
                <w:szCs w:val="24"/>
              </w:rPr>
            </w:pPr>
            <w:r>
              <w:rPr>
                <w:rFonts w:hint="eastAsia" w:ascii="宋体" w:hAnsi="宋体" w:eastAsia="宋体"/>
                <w:sz w:val="24"/>
                <w:szCs w:val="24"/>
              </w:rPr>
              <w:t>检</w:t>
            </w:r>
          </w:p>
          <w:p>
            <w:pPr>
              <w:jc w:val="center"/>
              <w:rPr>
                <w:rFonts w:hint="eastAsia" w:ascii="宋体" w:hAnsi="宋体"/>
                <w:sz w:val="24"/>
                <w:szCs w:val="24"/>
              </w:rPr>
            </w:pPr>
            <w:r>
              <w:rPr>
                <w:rFonts w:hint="eastAsia" w:ascii="宋体" w:hAnsi="宋体"/>
                <w:sz w:val="24"/>
                <w:szCs w:val="24"/>
              </w:rPr>
              <w:t>查</w:t>
            </w:r>
          </w:p>
        </w:tc>
        <w:tc>
          <w:tcPr>
            <w:tcW w:w="709" w:type="dxa"/>
            <w:vMerge w:val="restart"/>
            <w:tcBorders>
              <w:left w:val="single" w:color="auto" w:sz="4"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安</w:t>
            </w:r>
          </w:p>
          <w:p>
            <w:pPr>
              <w:jc w:val="center"/>
              <w:rPr>
                <w:rFonts w:hint="eastAsia" w:ascii="宋体" w:hAnsi="宋体"/>
                <w:sz w:val="24"/>
                <w:szCs w:val="24"/>
              </w:rPr>
            </w:pPr>
            <w:r>
              <w:rPr>
                <w:rFonts w:hint="eastAsia" w:ascii="宋体" w:hAnsi="宋体"/>
                <w:sz w:val="24"/>
                <w:szCs w:val="24"/>
              </w:rPr>
              <w:t>全</w:t>
            </w:r>
          </w:p>
          <w:p>
            <w:pPr>
              <w:jc w:val="center"/>
              <w:rPr>
                <w:rFonts w:hint="eastAsia" w:ascii="宋体" w:hAnsi="宋体"/>
                <w:sz w:val="24"/>
                <w:szCs w:val="24"/>
              </w:rPr>
            </w:pPr>
            <w:r>
              <w:rPr>
                <w:rFonts w:hint="eastAsia" w:ascii="宋体" w:hAnsi="宋体"/>
                <w:sz w:val="24"/>
                <w:szCs w:val="24"/>
              </w:rPr>
              <w:t>防</w:t>
            </w:r>
          </w:p>
          <w:p>
            <w:pPr>
              <w:jc w:val="center"/>
              <w:rPr>
                <w:rFonts w:hint="eastAsia" w:ascii="宋体" w:hAnsi="宋体"/>
                <w:sz w:val="24"/>
                <w:szCs w:val="24"/>
              </w:rPr>
            </w:pPr>
            <w:r>
              <w:rPr>
                <w:rFonts w:hint="eastAsia" w:ascii="宋体" w:hAnsi="宋体"/>
                <w:sz w:val="24"/>
                <w:szCs w:val="24"/>
              </w:rPr>
              <w:t>护</w:t>
            </w: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hAnsi="宋体"/>
                <w:sz w:val="24"/>
                <w:szCs w:val="24"/>
              </w:rPr>
            </w:pPr>
            <w:r>
              <w:rPr>
                <w:rFonts w:hint="eastAsia" w:ascii="宋体" w:hAnsi="宋体"/>
                <w:sz w:val="24"/>
                <w:szCs w:val="24"/>
              </w:rPr>
              <w:t>端部防护：在机具工作状态，两侧防护能覆盖地面以上工作部件，如不能全部覆盖则端部防护应从工作部件最外端运动轨迹分别向左右两侧延伸不小于200mm，如还采用间隔式防护时，防护屏障的间隙不大于80 mm。</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45" w:hRule="atLeast"/>
          <w:jc w:val="center"/>
        </w:trPr>
        <w:tc>
          <w:tcPr>
            <w:tcW w:w="778" w:type="dxa"/>
            <w:vMerge w:val="continue"/>
            <w:tcBorders>
              <w:left w:val="single" w:color="auto" w:sz="2" w:space="0"/>
              <w:right w:val="single" w:color="auto" w:sz="4" w:space="0"/>
            </w:tcBorders>
            <w:vAlign w:val="center"/>
          </w:tcPr>
          <w:p>
            <w:pPr>
              <w:pStyle w:val="3"/>
              <w:rPr>
                <w:rFonts w:hint="eastAsia" w:ascii="宋体" w:hAnsi="宋体" w:eastAsia="宋体"/>
                <w:sz w:val="24"/>
                <w:szCs w:val="24"/>
              </w:rPr>
            </w:pPr>
          </w:p>
        </w:tc>
        <w:tc>
          <w:tcPr>
            <w:tcW w:w="709" w:type="dxa"/>
            <w:vMerge w:val="continue"/>
            <w:tcBorders>
              <w:left w:val="single" w:color="auto" w:sz="4"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hAnsi="宋体"/>
                <w:sz w:val="24"/>
                <w:szCs w:val="24"/>
              </w:rPr>
            </w:pPr>
            <w:r>
              <w:rPr>
                <w:rFonts w:hint="eastAsia" w:ascii="宋体" w:hAnsi="宋体"/>
                <w:sz w:val="24"/>
                <w:szCs w:val="24"/>
              </w:rPr>
              <w:t>顶部防护：覆盖工作部件轨迹最外端的区域应采用坚固的防护装置，覆盖屏障之间和顶部的防护边缘不应与运动工作部件接触，该防护可由防护罩或任何适当的机器部件以及它们的结合获得防护。</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jc w:val="center"/>
        </w:trPr>
        <w:tc>
          <w:tcPr>
            <w:tcW w:w="778" w:type="dxa"/>
            <w:vMerge w:val="continue"/>
            <w:tcBorders>
              <w:left w:val="single" w:color="auto" w:sz="2" w:space="0"/>
              <w:right w:val="single" w:color="auto" w:sz="4" w:space="0"/>
            </w:tcBorders>
            <w:vAlign w:val="center"/>
          </w:tcPr>
          <w:p>
            <w:pPr>
              <w:pStyle w:val="3"/>
              <w:rPr>
                <w:rFonts w:hint="eastAsia" w:ascii="宋体" w:hAnsi="宋体"/>
                <w:szCs w:val="24"/>
              </w:rPr>
            </w:pPr>
          </w:p>
        </w:tc>
        <w:tc>
          <w:tcPr>
            <w:tcW w:w="709" w:type="dxa"/>
            <w:vMerge w:val="continue"/>
            <w:tcBorders>
              <w:left w:val="single" w:color="auto" w:sz="4"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hAnsi="宋体"/>
                <w:sz w:val="24"/>
                <w:szCs w:val="24"/>
              </w:rPr>
            </w:pPr>
            <w:r>
              <w:rPr>
                <w:rFonts w:hint="eastAsia" w:ascii="宋体" w:hAnsi="宋体"/>
                <w:sz w:val="24"/>
                <w:szCs w:val="24"/>
              </w:rPr>
              <w:t>后部防护：在机具工作状态，后部能覆盖地面以上工作部件。后部带有镇压器的情况下，其结构应符合GB 10395.1-2009的规定。</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jc w:val="center"/>
        </w:trPr>
        <w:tc>
          <w:tcPr>
            <w:tcW w:w="778" w:type="dxa"/>
            <w:vMerge w:val="continue"/>
            <w:tcBorders>
              <w:left w:val="single" w:color="auto" w:sz="2" w:space="0"/>
              <w:right w:val="single" w:color="auto" w:sz="4" w:space="0"/>
            </w:tcBorders>
            <w:vAlign w:val="center"/>
          </w:tcPr>
          <w:p>
            <w:pPr>
              <w:pStyle w:val="3"/>
              <w:rPr>
                <w:rFonts w:hint="eastAsia" w:ascii="宋体" w:hAnsi="宋体"/>
                <w:szCs w:val="24"/>
              </w:rPr>
            </w:pPr>
          </w:p>
        </w:tc>
        <w:tc>
          <w:tcPr>
            <w:tcW w:w="709" w:type="dxa"/>
            <w:vMerge w:val="continue"/>
            <w:tcBorders>
              <w:left w:val="single" w:color="auto" w:sz="4"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hAnsi="宋体"/>
                <w:sz w:val="24"/>
                <w:szCs w:val="24"/>
              </w:rPr>
            </w:pPr>
            <w:r>
              <w:rPr>
                <w:rFonts w:hint="eastAsia" w:ascii="宋体" w:hAnsi="宋体"/>
                <w:sz w:val="24"/>
                <w:szCs w:val="24"/>
              </w:rPr>
              <w:t>机械支撑装置应能支撑最大静载荷1.5倍的载荷。可拆下的机械支撑装置应在机器上具有标识明显、清晰易见和明确的存放位置。</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68" w:hRule="atLeast"/>
          <w:jc w:val="center"/>
        </w:trPr>
        <w:tc>
          <w:tcPr>
            <w:tcW w:w="778" w:type="dxa"/>
            <w:vMerge w:val="continue"/>
            <w:tcBorders>
              <w:left w:val="single" w:color="auto" w:sz="2" w:space="0"/>
              <w:right w:val="single" w:color="auto" w:sz="4" w:space="0"/>
            </w:tcBorders>
            <w:vAlign w:val="center"/>
          </w:tcPr>
          <w:p>
            <w:pPr>
              <w:jc w:val="center"/>
              <w:rPr>
                <w:rFonts w:hint="eastAsia" w:ascii="宋体" w:hAnsi="宋体"/>
                <w:sz w:val="24"/>
                <w:szCs w:val="24"/>
              </w:rPr>
            </w:pPr>
          </w:p>
        </w:tc>
        <w:tc>
          <w:tcPr>
            <w:tcW w:w="709" w:type="dxa"/>
            <w:vMerge w:val="continue"/>
            <w:tcBorders>
              <w:left w:val="single" w:color="auto" w:sz="4"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hAnsi="宋体"/>
                <w:sz w:val="24"/>
                <w:szCs w:val="24"/>
              </w:rPr>
            </w:pPr>
            <w:r>
              <w:rPr>
                <w:rFonts w:hint="eastAsia" w:ascii="宋体" w:hAnsi="宋体"/>
                <w:sz w:val="24"/>
                <w:szCs w:val="24"/>
              </w:rPr>
              <w:t>液压锁定装置直接位于油缸上，或通过刚性管路或软管连接到液压油缸上。如果采用后一种方式，连接液压锁定装置与液压油缸的管路应承受至少四倍的最大额定压力。最大额定压力和液压软管的更换条件应在产品使用说明书中给出。</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6" w:hRule="atLeast"/>
          <w:jc w:val="center"/>
        </w:trPr>
        <w:tc>
          <w:tcPr>
            <w:tcW w:w="778" w:type="dxa"/>
            <w:vMerge w:val="continue"/>
            <w:tcBorders>
              <w:left w:val="single" w:color="auto" w:sz="2" w:space="0"/>
              <w:right w:val="single" w:color="auto" w:sz="4" w:space="0"/>
            </w:tcBorders>
            <w:vAlign w:val="center"/>
          </w:tcPr>
          <w:p>
            <w:pPr>
              <w:jc w:val="center"/>
              <w:rPr>
                <w:rFonts w:hint="eastAsia" w:ascii="宋体" w:hAnsi="宋体"/>
                <w:sz w:val="24"/>
                <w:szCs w:val="24"/>
              </w:rPr>
            </w:pPr>
          </w:p>
        </w:tc>
        <w:tc>
          <w:tcPr>
            <w:tcW w:w="709" w:type="dxa"/>
            <w:vMerge w:val="continue"/>
            <w:tcBorders>
              <w:left w:val="single" w:color="auto" w:sz="4"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hAnsi="宋体"/>
                <w:sz w:val="24"/>
                <w:szCs w:val="24"/>
              </w:rPr>
            </w:pPr>
            <w:r>
              <w:rPr>
                <w:rFonts w:hint="eastAsia" w:ascii="宋体" w:hAnsi="宋体"/>
                <w:sz w:val="24"/>
                <w:szCs w:val="24"/>
              </w:rPr>
              <w:t>液压软管、管路及其附件应合理放置或加以防护，以保证发生破裂时，液体不会直接喷射到工作位置上的操作者。</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5" w:hRule="atLeast"/>
          <w:jc w:val="center"/>
        </w:trPr>
        <w:tc>
          <w:tcPr>
            <w:tcW w:w="778" w:type="dxa"/>
            <w:vMerge w:val="continue"/>
            <w:tcBorders>
              <w:left w:val="single" w:color="auto" w:sz="2" w:space="0"/>
              <w:right w:val="single" w:color="auto" w:sz="4" w:space="0"/>
            </w:tcBorders>
            <w:vAlign w:val="center"/>
          </w:tcPr>
          <w:p>
            <w:pPr>
              <w:jc w:val="center"/>
              <w:rPr>
                <w:rFonts w:hint="eastAsia" w:ascii="宋体" w:hAnsi="宋体"/>
                <w:sz w:val="24"/>
                <w:szCs w:val="24"/>
              </w:rPr>
            </w:pPr>
          </w:p>
        </w:tc>
        <w:tc>
          <w:tcPr>
            <w:tcW w:w="709" w:type="dxa"/>
            <w:vMerge w:val="restart"/>
            <w:tcBorders>
              <w:left w:val="single" w:color="auto" w:sz="4"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安</w:t>
            </w:r>
          </w:p>
          <w:p>
            <w:pPr>
              <w:jc w:val="center"/>
              <w:rPr>
                <w:rFonts w:hint="eastAsia" w:ascii="宋体" w:hAnsi="宋体"/>
                <w:sz w:val="24"/>
                <w:szCs w:val="24"/>
              </w:rPr>
            </w:pPr>
            <w:r>
              <w:rPr>
                <w:rFonts w:hint="eastAsia" w:ascii="宋体" w:hAnsi="宋体"/>
                <w:sz w:val="24"/>
                <w:szCs w:val="24"/>
              </w:rPr>
              <w:t>全</w:t>
            </w:r>
          </w:p>
          <w:p>
            <w:pPr>
              <w:jc w:val="center"/>
              <w:rPr>
                <w:rFonts w:hint="eastAsia" w:ascii="宋体" w:hAnsi="宋体"/>
                <w:sz w:val="24"/>
                <w:szCs w:val="24"/>
              </w:rPr>
            </w:pPr>
            <w:r>
              <w:rPr>
                <w:rFonts w:hint="eastAsia" w:ascii="宋体" w:hAnsi="宋体"/>
                <w:sz w:val="24"/>
                <w:szCs w:val="24"/>
              </w:rPr>
              <w:t>信</w:t>
            </w:r>
          </w:p>
          <w:p>
            <w:pPr>
              <w:jc w:val="center"/>
              <w:rPr>
                <w:rFonts w:hint="eastAsia" w:ascii="宋体" w:hAnsi="宋体"/>
                <w:sz w:val="24"/>
                <w:szCs w:val="24"/>
              </w:rPr>
            </w:pPr>
            <w:r>
              <w:rPr>
                <w:rFonts w:hint="eastAsia" w:ascii="宋体" w:hAnsi="宋体"/>
                <w:sz w:val="24"/>
                <w:szCs w:val="24"/>
              </w:rPr>
              <w:t>息</w:t>
            </w: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hAnsi="宋体"/>
                <w:sz w:val="24"/>
                <w:szCs w:val="24"/>
              </w:rPr>
            </w:pPr>
            <w:r>
              <w:rPr>
                <w:rFonts w:hint="eastAsia" w:ascii="宋体" w:hAnsi="宋体"/>
                <w:sz w:val="24"/>
                <w:szCs w:val="24"/>
              </w:rPr>
              <w:t>在机具升降、苗箱、栽植器(臂)、工作台、牵引挂接点、齿轮及链轮、链条啮合、土壤工作部件等危险部位的明显位置处应设置安全警示标志。</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7" w:hRule="atLeast"/>
          <w:jc w:val="center"/>
        </w:trPr>
        <w:tc>
          <w:tcPr>
            <w:tcW w:w="778" w:type="dxa"/>
            <w:vMerge w:val="continue"/>
            <w:tcBorders>
              <w:left w:val="single" w:color="auto" w:sz="2" w:space="0"/>
              <w:right w:val="single" w:color="auto" w:sz="4" w:space="0"/>
            </w:tcBorders>
            <w:vAlign w:val="center"/>
          </w:tcPr>
          <w:p>
            <w:pPr>
              <w:jc w:val="center"/>
              <w:rPr>
                <w:rFonts w:hint="eastAsia" w:ascii="宋体" w:hAnsi="宋体"/>
                <w:sz w:val="24"/>
                <w:szCs w:val="24"/>
              </w:rPr>
            </w:pPr>
          </w:p>
        </w:tc>
        <w:tc>
          <w:tcPr>
            <w:tcW w:w="709" w:type="dxa"/>
            <w:vMerge w:val="continue"/>
            <w:tcBorders>
              <w:left w:val="single" w:color="auto" w:sz="4"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jc w:val="left"/>
              <w:rPr>
                <w:rFonts w:hint="eastAsia" w:ascii="宋体" w:hAnsi="宋体"/>
                <w:sz w:val="24"/>
                <w:szCs w:val="24"/>
              </w:rPr>
            </w:pPr>
            <w:r>
              <w:rPr>
                <w:rFonts w:hint="eastAsia" w:ascii="宋体" w:hAnsi="宋体"/>
                <w:sz w:val="24"/>
                <w:szCs w:val="24"/>
              </w:rPr>
              <w:t>对于油菜联合移栽机的耕整地机构应使用警告标志描述下列危险:</w:t>
            </w:r>
          </w:p>
          <w:p>
            <w:pPr>
              <w:rPr>
                <w:rFonts w:hint="eastAsia" w:ascii="宋体" w:hAnsi="宋体"/>
                <w:sz w:val="24"/>
                <w:szCs w:val="24"/>
              </w:rPr>
            </w:pPr>
            <w:r>
              <w:rPr>
                <w:rFonts w:hint="eastAsia" w:ascii="宋体" w:hAnsi="宋体"/>
                <w:sz w:val="24"/>
                <w:szCs w:val="24"/>
              </w:rPr>
              <w:t>a)机具前部万向节传动轴可能缠绕身体，作业或万向节传动轴转动时，应保持安全距离； b)机具工作时可能有飞出物冲击人的身体，作业时人与机具保持安全距离； c)机具运转时不得打开或拆卸安全防护装置。</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bl>
    <w:p>
      <w:r>
        <w:br w:type="page"/>
      </w:r>
      <w:r>
        <w:rPr>
          <w:rFonts w:hint="eastAsia" w:ascii="宋体" w:hAnsi="宋体"/>
          <w:b/>
          <w:sz w:val="30"/>
        </w:rPr>
        <w:t>5.</w:t>
      </w:r>
      <w:r>
        <w:rPr>
          <w:rFonts w:hint="eastAsia"/>
          <w:b/>
          <w:sz w:val="32"/>
          <w:szCs w:val="32"/>
        </w:rPr>
        <w:t>安全性检查结果（续完）</w:t>
      </w:r>
    </w:p>
    <w:tbl>
      <w:tblPr>
        <w:tblStyle w:val="8"/>
        <w:tblW w:w="90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709"/>
        <w:gridCol w:w="4961"/>
        <w:gridCol w:w="1276"/>
        <w:gridCol w:w="13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2" w:hRule="atLeast"/>
          <w:jc w:val="center"/>
        </w:trPr>
        <w:tc>
          <w:tcPr>
            <w:tcW w:w="1487" w:type="dxa"/>
            <w:gridSpan w:val="2"/>
            <w:tcBorders>
              <w:left w:val="single" w:color="auto" w:sz="2"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项目</w:t>
            </w:r>
          </w:p>
        </w:tc>
        <w:tc>
          <w:tcPr>
            <w:tcW w:w="4961"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合格指标</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检查结果</w:t>
            </w: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sz w:val="24"/>
                <w:szCs w:val="24"/>
              </w:rPr>
            </w:pPr>
            <w:r>
              <w:rPr>
                <w:rFonts w:hint="eastAsia"/>
                <w:sz w:val="24"/>
                <w:szCs w:val="24"/>
              </w:rPr>
              <w:t>单项判定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8" w:hRule="atLeast"/>
          <w:jc w:val="center"/>
        </w:trPr>
        <w:tc>
          <w:tcPr>
            <w:tcW w:w="778" w:type="dxa"/>
            <w:vMerge w:val="restart"/>
            <w:tcBorders>
              <w:left w:val="single" w:color="auto" w:sz="2" w:space="0"/>
              <w:right w:val="single" w:color="auto" w:sz="4" w:space="0"/>
            </w:tcBorders>
            <w:vAlign w:val="center"/>
          </w:tcPr>
          <w:p>
            <w:pPr>
              <w:pStyle w:val="3"/>
              <w:rPr>
                <w:rFonts w:hint="eastAsia" w:ascii="宋体" w:hAnsi="宋体" w:eastAsia="宋体"/>
                <w:sz w:val="24"/>
                <w:szCs w:val="24"/>
              </w:rPr>
            </w:pPr>
            <w:r>
              <w:rPr>
                <w:rFonts w:hint="eastAsia" w:ascii="宋体" w:hAnsi="宋体" w:eastAsia="宋体"/>
                <w:sz w:val="24"/>
                <w:szCs w:val="24"/>
              </w:rPr>
              <w:t>安</w:t>
            </w:r>
          </w:p>
          <w:p>
            <w:pPr>
              <w:pStyle w:val="3"/>
              <w:rPr>
                <w:rFonts w:hint="eastAsia" w:ascii="宋体" w:hAnsi="宋体" w:eastAsia="宋体"/>
                <w:sz w:val="24"/>
                <w:szCs w:val="24"/>
              </w:rPr>
            </w:pPr>
            <w:r>
              <w:rPr>
                <w:rFonts w:hint="eastAsia" w:ascii="宋体" w:hAnsi="宋体" w:eastAsia="宋体"/>
                <w:sz w:val="24"/>
                <w:szCs w:val="24"/>
              </w:rPr>
              <w:t>全</w:t>
            </w:r>
          </w:p>
          <w:p>
            <w:pPr>
              <w:pStyle w:val="3"/>
              <w:rPr>
                <w:rFonts w:hint="eastAsia" w:ascii="宋体" w:hAnsi="宋体" w:eastAsia="宋体"/>
                <w:sz w:val="24"/>
                <w:szCs w:val="24"/>
              </w:rPr>
            </w:pPr>
            <w:r>
              <w:rPr>
                <w:rFonts w:hint="eastAsia" w:ascii="宋体" w:hAnsi="宋体" w:eastAsia="宋体"/>
                <w:sz w:val="24"/>
                <w:szCs w:val="24"/>
              </w:rPr>
              <w:t>性</w:t>
            </w:r>
          </w:p>
          <w:p>
            <w:pPr>
              <w:pStyle w:val="3"/>
              <w:rPr>
                <w:rFonts w:hint="eastAsia" w:ascii="宋体" w:hAnsi="宋体" w:eastAsia="宋体"/>
                <w:sz w:val="24"/>
                <w:szCs w:val="24"/>
              </w:rPr>
            </w:pPr>
            <w:r>
              <w:rPr>
                <w:rFonts w:hint="eastAsia" w:ascii="宋体" w:hAnsi="宋体" w:eastAsia="宋体"/>
                <w:sz w:val="24"/>
                <w:szCs w:val="24"/>
              </w:rPr>
              <w:t>检</w:t>
            </w:r>
          </w:p>
          <w:p>
            <w:pPr>
              <w:jc w:val="center"/>
              <w:rPr>
                <w:rFonts w:hint="eastAsia" w:ascii="宋体" w:hAnsi="宋体"/>
                <w:sz w:val="24"/>
                <w:szCs w:val="24"/>
              </w:rPr>
            </w:pPr>
            <w:r>
              <w:rPr>
                <w:rFonts w:hint="eastAsia" w:ascii="宋体" w:hAnsi="宋体"/>
                <w:sz w:val="24"/>
                <w:szCs w:val="24"/>
              </w:rPr>
              <w:t>查</w:t>
            </w:r>
          </w:p>
        </w:tc>
        <w:tc>
          <w:tcPr>
            <w:tcW w:w="709" w:type="dxa"/>
            <w:vMerge w:val="restart"/>
            <w:tcBorders>
              <w:left w:val="single" w:color="auto" w:sz="4"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安</w:t>
            </w:r>
          </w:p>
          <w:p>
            <w:pPr>
              <w:jc w:val="center"/>
              <w:rPr>
                <w:rFonts w:hint="eastAsia" w:ascii="宋体" w:hAnsi="宋体"/>
                <w:sz w:val="24"/>
                <w:szCs w:val="24"/>
              </w:rPr>
            </w:pPr>
            <w:r>
              <w:rPr>
                <w:rFonts w:hint="eastAsia" w:ascii="宋体" w:hAnsi="宋体"/>
                <w:sz w:val="24"/>
                <w:szCs w:val="24"/>
              </w:rPr>
              <w:t>全</w:t>
            </w:r>
          </w:p>
          <w:p>
            <w:pPr>
              <w:jc w:val="center"/>
              <w:rPr>
                <w:rFonts w:hint="eastAsia" w:ascii="宋体" w:hAnsi="宋体"/>
                <w:sz w:val="24"/>
                <w:szCs w:val="24"/>
              </w:rPr>
            </w:pPr>
            <w:r>
              <w:rPr>
                <w:rFonts w:hint="eastAsia" w:ascii="宋体" w:hAnsi="宋体"/>
                <w:sz w:val="24"/>
                <w:szCs w:val="24"/>
              </w:rPr>
              <w:t>信</w:t>
            </w:r>
          </w:p>
          <w:p>
            <w:pPr>
              <w:jc w:val="center"/>
              <w:rPr>
                <w:rFonts w:hint="eastAsia" w:ascii="宋体" w:hAnsi="宋体"/>
                <w:sz w:val="24"/>
                <w:szCs w:val="24"/>
              </w:rPr>
            </w:pPr>
            <w:r>
              <w:rPr>
                <w:rFonts w:hint="eastAsia" w:ascii="宋体" w:hAnsi="宋体"/>
                <w:sz w:val="24"/>
                <w:szCs w:val="24"/>
              </w:rPr>
              <w:t>息</w:t>
            </w:r>
          </w:p>
        </w:tc>
        <w:tc>
          <w:tcPr>
            <w:tcW w:w="4961" w:type="dxa"/>
            <w:tcBorders>
              <w:top w:val="single" w:color="auto" w:sz="4" w:space="0"/>
              <w:left w:val="single" w:color="auto" w:sz="2" w:space="0"/>
              <w:bottom w:val="single" w:color="auto" w:sz="4" w:space="0"/>
              <w:right w:val="single" w:color="auto" w:sz="2" w:space="0"/>
            </w:tcBorders>
            <w:vAlign w:val="center"/>
          </w:tcPr>
          <w:p>
            <w:pPr>
              <w:rPr>
                <w:rFonts w:ascii="宋体" w:hAnsi="宋体"/>
                <w:sz w:val="24"/>
              </w:rPr>
            </w:pPr>
            <w:r>
              <w:rPr>
                <w:rFonts w:hint="eastAsia" w:ascii="宋体" w:hAnsi="宋体"/>
                <w:sz w:val="24"/>
              </w:rPr>
              <w:t>使用说明书应包含安全操作和维护保养的措施和方法。使用安全标志应描述以下内容</w:t>
            </w:r>
            <w:r>
              <w:rPr>
                <w:rFonts w:ascii="宋体" w:hAnsi="宋体"/>
                <w:sz w:val="24"/>
              </w:rPr>
              <w:t>:</w:t>
            </w:r>
          </w:p>
          <w:p>
            <w:pPr>
              <w:rPr>
                <w:rFonts w:hint="eastAsia" w:ascii="宋体" w:hAnsi="宋体"/>
                <w:sz w:val="24"/>
              </w:rPr>
            </w:pPr>
            <w:r>
              <w:rPr>
                <w:rFonts w:hint="eastAsia" w:ascii="宋体" w:hAnsi="宋体"/>
                <w:sz w:val="24"/>
              </w:rPr>
              <w:t>机器前部万向节传动轴可能缠绕身体部位，机器作业时或万向节传动轴转动时，人与机器保持安全距离；机器后部有飞出物体冲击人的身体，作业时人与机器保持安全距离；机器运转时，不得打开或拆下安全防护罩；机器升降产生挤压危险，人与机器保持安全距离；轮啮合部位，链轮、链条等啮合部位产生挤压危险，不得打开或拆下安全防护罩；</w:t>
            </w:r>
            <w:r>
              <w:rPr>
                <w:rFonts w:ascii="宋体" w:hAnsi="宋体"/>
                <w:sz w:val="24"/>
              </w:rPr>
              <w:t>有运动部件(搅拌器、搅刀)产生剪切危险，人与机器保持安全距离；使用前请详</w:t>
            </w:r>
            <w:r>
              <w:rPr>
                <w:rFonts w:hint="eastAsia" w:ascii="宋体" w:hAnsi="宋体"/>
                <w:sz w:val="24"/>
              </w:rPr>
              <w:t>细</w:t>
            </w:r>
            <w:r>
              <w:rPr>
                <w:rFonts w:ascii="宋体" w:hAnsi="宋体"/>
                <w:sz w:val="24"/>
              </w:rPr>
              <w:t>阅读使用说明书。</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1" w:hRule="atLeast"/>
          <w:jc w:val="center"/>
        </w:trPr>
        <w:tc>
          <w:tcPr>
            <w:tcW w:w="778" w:type="dxa"/>
            <w:vMerge w:val="continue"/>
            <w:tcBorders>
              <w:left w:val="single" w:color="auto" w:sz="2" w:space="0"/>
              <w:right w:val="single" w:color="auto" w:sz="4" w:space="0"/>
            </w:tcBorders>
            <w:vAlign w:val="center"/>
          </w:tcPr>
          <w:p>
            <w:pPr>
              <w:jc w:val="center"/>
              <w:rPr>
                <w:rFonts w:hint="eastAsia" w:ascii="宋体" w:hAnsi="宋体"/>
                <w:sz w:val="24"/>
                <w:szCs w:val="24"/>
              </w:rPr>
            </w:pPr>
          </w:p>
        </w:tc>
        <w:tc>
          <w:tcPr>
            <w:tcW w:w="709" w:type="dxa"/>
            <w:vMerge w:val="continue"/>
            <w:tcBorders>
              <w:left w:val="single" w:color="auto" w:sz="4"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jc w:val="left"/>
              <w:rPr>
                <w:rFonts w:hint="eastAsia" w:ascii="宋体" w:hAnsi="宋体"/>
                <w:sz w:val="24"/>
                <w:szCs w:val="24"/>
              </w:rPr>
            </w:pPr>
            <w:r>
              <w:rPr>
                <w:rFonts w:hint="eastAsia" w:ascii="宋体" w:hAnsi="宋体"/>
                <w:sz w:val="24"/>
                <w:szCs w:val="24"/>
              </w:rPr>
              <w:t>产品使用说明书中应有安全注意事项，产品上设置的安全警示标志应符合GB10396-2006 的规定，并在使用说明书中复现。</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left"/>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1" w:hRule="atLeast"/>
          <w:jc w:val="center"/>
        </w:trPr>
        <w:tc>
          <w:tcPr>
            <w:tcW w:w="778" w:type="dxa"/>
            <w:vMerge w:val="continue"/>
            <w:tcBorders>
              <w:left w:val="single" w:color="auto" w:sz="2" w:space="0"/>
              <w:right w:val="single" w:color="auto" w:sz="4" w:space="0"/>
            </w:tcBorders>
            <w:vAlign w:val="center"/>
          </w:tcPr>
          <w:p>
            <w:pPr>
              <w:jc w:val="center"/>
              <w:rPr>
                <w:rFonts w:hint="eastAsia" w:ascii="宋体" w:hAnsi="宋体"/>
                <w:sz w:val="24"/>
                <w:szCs w:val="24"/>
              </w:rPr>
            </w:pPr>
          </w:p>
        </w:tc>
        <w:tc>
          <w:tcPr>
            <w:tcW w:w="709" w:type="dxa"/>
            <w:vMerge w:val="restart"/>
            <w:tcBorders>
              <w:left w:val="single" w:color="auto" w:sz="4" w:space="0"/>
              <w:right w:val="single" w:color="auto" w:sz="2" w:space="0"/>
            </w:tcBorders>
            <w:vAlign w:val="center"/>
          </w:tcPr>
          <w:p>
            <w:pPr>
              <w:jc w:val="center"/>
              <w:rPr>
                <w:rFonts w:hint="eastAsia" w:ascii="宋体" w:hAnsi="宋体"/>
                <w:sz w:val="24"/>
                <w:szCs w:val="24"/>
              </w:rPr>
            </w:pPr>
            <w:r>
              <w:rPr>
                <w:rFonts w:hint="eastAsia" w:ascii="宋体" w:hAnsi="宋体"/>
                <w:sz w:val="24"/>
                <w:szCs w:val="24"/>
              </w:rPr>
              <w:t>安</w:t>
            </w:r>
          </w:p>
          <w:p>
            <w:pPr>
              <w:jc w:val="center"/>
              <w:rPr>
                <w:rFonts w:hint="eastAsia" w:ascii="宋体" w:hAnsi="宋体"/>
                <w:sz w:val="24"/>
                <w:szCs w:val="24"/>
              </w:rPr>
            </w:pPr>
            <w:r>
              <w:rPr>
                <w:rFonts w:hint="eastAsia" w:ascii="宋体" w:hAnsi="宋体"/>
                <w:sz w:val="24"/>
                <w:szCs w:val="24"/>
              </w:rPr>
              <w:t>全</w:t>
            </w:r>
          </w:p>
          <w:p>
            <w:pPr>
              <w:jc w:val="center"/>
              <w:rPr>
                <w:rFonts w:hint="eastAsia" w:ascii="宋体" w:hAnsi="宋体"/>
                <w:sz w:val="24"/>
                <w:szCs w:val="24"/>
              </w:rPr>
            </w:pPr>
            <w:r>
              <w:rPr>
                <w:rFonts w:hint="eastAsia" w:ascii="宋体" w:hAnsi="宋体"/>
                <w:sz w:val="24"/>
                <w:szCs w:val="24"/>
              </w:rPr>
              <w:t>装</w:t>
            </w:r>
          </w:p>
          <w:p>
            <w:pPr>
              <w:jc w:val="center"/>
              <w:rPr>
                <w:rFonts w:hint="eastAsia" w:ascii="宋体" w:hAnsi="宋体"/>
                <w:sz w:val="24"/>
                <w:szCs w:val="24"/>
              </w:rPr>
            </w:pPr>
            <w:r>
              <w:rPr>
                <w:rFonts w:hint="eastAsia" w:ascii="宋体" w:hAnsi="宋体"/>
                <w:sz w:val="24"/>
                <w:szCs w:val="24"/>
              </w:rPr>
              <w:t>备</w:t>
            </w: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hAnsi="宋体"/>
                <w:sz w:val="24"/>
                <w:szCs w:val="24"/>
              </w:rPr>
            </w:pPr>
            <w:r>
              <w:rPr>
                <w:rFonts w:hint="eastAsia" w:ascii="宋体" w:hAnsi="宋体"/>
                <w:sz w:val="24"/>
                <w:szCs w:val="24"/>
              </w:rPr>
              <w:t>非作业状态应能可靠切断动力传动。</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7" w:hRule="atLeast"/>
          <w:jc w:val="center"/>
        </w:trPr>
        <w:tc>
          <w:tcPr>
            <w:tcW w:w="778" w:type="dxa"/>
            <w:vMerge w:val="continue"/>
            <w:tcBorders>
              <w:left w:val="single" w:color="auto" w:sz="2" w:space="0"/>
              <w:right w:val="single" w:color="auto" w:sz="4" w:space="0"/>
            </w:tcBorders>
            <w:vAlign w:val="center"/>
          </w:tcPr>
          <w:p>
            <w:pPr>
              <w:jc w:val="center"/>
              <w:rPr>
                <w:rFonts w:hint="eastAsia" w:ascii="宋体" w:hAnsi="宋体"/>
                <w:sz w:val="24"/>
                <w:szCs w:val="24"/>
              </w:rPr>
            </w:pPr>
          </w:p>
        </w:tc>
        <w:tc>
          <w:tcPr>
            <w:tcW w:w="709" w:type="dxa"/>
            <w:vMerge w:val="continue"/>
            <w:tcBorders>
              <w:left w:val="single" w:color="auto" w:sz="4" w:space="0"/>
              <w:right w:val="single" w:color="auto" w:sz="2" w:space="0"/>
            </w:tcBorders>
            <w:vAlign w:val="center"/>
          </w:tcPr>
          <w:p>
            <w:pPr>
              <w:jc w:val="center"/>
              <w:rPr>
                <w:rFonts w:hint="eastAsia" w:ascii="宋体" w:hAnsi="宋体"/>
                <w:sz w:val="24"/>
                <w:szCs w:val="24"/>
              </w:rPr>
            </w:pPr>
          </w:p>
        </w:tc>
        <w:tc>
          <w:tcPr>
            <w:tcW w:w="4961" w:type="dxa"/>
            <w:tcBorders>
              <w:top w:val="single" w:color="auto" w:sz="4" w:space="0"/>
              <w:left w:val="single" w:color="auto" w:sz="2" w:space="0"/>
              <w:bottom w:val="single" w:color="auto" w:sz="4" w:space="0"/>
              <w:right w:val="single" w:color="auto" w:sz="2" w:space="0"/>
            </w:tcBorders>
            <w:vAlign w:val="center"/>
          </w:tcPr>
          <w:p>
            <w:pPr>
              <w:rPr>
                <w:rFonts w:hint="eastAsia" w:ascii="宋体" w:hAnsi="宋体"/>
                <w:sz w:val="24"/>
                <w:szCs w:val="24"/>
              </w:rPr>
            </w:pPr>
            <w:r>
              <w:rPr>
                <w:rFonts w:hint="eastAsia" w:ascii="宋体" w:hAnsi="宋体"/>
                <w:sz w:val="24"/>
                <w:szCs w:val="24"/>
              </w:rPr>
              <w:t>具有在运输状态下锁定运动部件的装置。</w:t>
            </w:r>
          </w:p>
        </w:tc>
        <w:tc>
          <w:tcPr>
            <w:tcW w:w="1276"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c>
          <w:tcPr>
            <w:tcW w:w="1315" w:type="dxa"/>
            <w:tcBorders>
              <w:top w:val="single" w:color="auto" w:sz="4" w:space="0"/>
              <w:left w:val="single" w:color="auto" w:sz="2" w:space="0"/>
              <w:bottom w:val="single" w:color="auto" w:sz="4" w:space="0"/>
              <w:right w:val="single" w:color="auto" w:sz="2" w:space="0"/>
            </w:tcBorders>
            <w:vAlign w:val="center"/>
          </w:tcPr>
          <w:p>
            <w:pPr>
              <w:jc w:val="center"/>
              <w:rPr>
                <w:rFonts w:hint="eastAsia"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778" w:type="dxa"/>
            <w:tcBorders>
              <w:left w:val="single" w:color="auto" w:sz="2" w:space="0"/>
              <w:right w:val="single" w:color="auto" w:sz="2" w:space="0"/>
            </w:tcBorders>
            <w:vAlign w:val="center"/>
          </w:tcPr>
          <w:p>
            <w:pPr>
              <w:jc w:val="center"/>
              <w:rPr>
                <w:rFonts w:hint="eastAsia" w:ascii="宋体" w:hAnsi="宋体"/>
                <w:sz w:val="24"/>
              </w:rPr>
            </w:pPr>
            <w:r>
              <w:rPr>
                <w:rFonts w:hint="eastAsia" w:ascii="宋体" w:hAnsi="宋体"/>
                <w:sz w:val="24"/>
              </w:rPr>
              <w:t>备注</w:t>
            </w:r>
          </w:p>
        </w:tc>
        <w:tc>
          <w:tcPr>
            <w:tcW w:w="8261" w:type="dxa"/>
            <w:gridSpan w:val="4"/>
            <w:tcBorders>
              <w:left w:val="single" w:color="auto" w:sz="2" w:space="0"/>
              <w:right w:val="single" w:color="auto" w:sz="2" w:space="0"/>
            </w:tcBorders>
            <w:vAlign w:val="center"/>
          </w:tcPr>
          <w:p>
            <w:pPr>
              <w:adjustRightInd w:val="0"/>
              <w:snapToGrid w:val="0"/>
              <w:rPr>
                <w:rFonts w:hint="eastAsia"/>
                <w:sz w:val="24"/>
                <w:szCs w:val="24"/>
              </w:rPr>
            </w:pPr>
            <w:r>
              <w:rPr>
                <w:rFonts w:hint="eastAsia" w:ascii="宋体" w:hAnsi="宋体"/>
                <w:sz w:val="24"/>
                <w:szCs w:val="24"/>
              </w:rPr>
              <w:t>检查结果</w:t>
            </w:r>
            <w:r>
              <w:rPr>
                <w:rFonts w:hint="eastAsia"/>
                <w:sz w:val="24"/>
                <w:szCs w:val="24"/>
              </w:rPr>
              <w:t>符合要求，单项判定结果填写“＋”，否则填写“－”。</w:t>
            </w:r>
          </w:p>
        </w:tc>
      </w:tr>
    </w:tbl>
    <w:p>
      <w:pPr>
        <w:rPr>
          <w:rFonts w:hint="eastAsia" w:ascii="宋体" w:hAnsi="宋体"/>
          <w:b/>
          <w:sz w:val="32"/>
          <w:szCs w:val="32"/>
        </w:rPr>
      </w:pPr>
    </w:p>
    <w:p>
      <w:pPr>
        <w:spacing w:line="360" w:lineRule="auto"/>
        <w:rPr>
          <w:rFonts w:hint="eastAsia" w:ascii="宋体" w:hAnsi="宋体"/>
          <w:sz w:val="24"/>
          <w:szCs w:val="24"/>
          <w:u w:val="single"/>
        </w:rPr>
      </w:pPr>
      <w:r>
        <w:rPr>
          <w:rFonts w:hint="eastAsia"/>
        </w:rPr>
        <w:t xml:space="preserve">                    </w:t>
      </w:r>
      <w:r>
        <w:rPr>
          <w:rFonts w:hint="eastAsia" w:ascii="宋体" w:hAnsi="宋体"/>
        </w:rPr>
        <w:t xml:space="preserve"> </w:t>
      </w:r>
      <w:r>
        <w:rPr>
          <w:rFonts w:hint="eastAsia" w:ascii="宋体" w:hAnsi="宋体"/>
          <w:u w:val="single"/>
        </w:rPr>
        <w:t xml:space="preserve">    </w:t>
      </w:r>
      <w:r>
        <w:rPr>
          <w:rFonts w:hint="eastAsia" w:ascii="宋体" w:hAnsi="宋体"/>
          <w:sz w:val="24"/>
          <w:szCs w:val="24"/>
          <w:u w:val="single"/>
        </w:rPr>
        <w:t xml:space="preserve">                                   </w:t>
      </w:r>
    </w:p>
    <w:p>
      <w:pPr>
        <w:adjustRightInd w:val="0"/>
        <w:snapToGrid w:val="0"/>
        <w:spacing w:line="360" w:lineRule="auto"/>
        <w:jc w:val="center"/>
        <w:rPr>
          <w:rFonts w:hint="eastAsia" w:ascii="宋体" w:hAnsi="宋体"/>
          <w:b/>
          <w:sz w:val="30"/>
        </w:rPr>
      </w:pPr>
      <w:r>
        <w:rPr>
          <w:rFonts w:hint="eastAsia" w:ascii="宋体" w:hAnsi="宋体"/>
          <w:sz w:val="24"/>
          <w:szCs w:val="24"/>
        </w:rPr>
        <w:t>以 下 空 白</w:t>
      </w:r>
    </w:p>
    <w:sectPr>
      <w:headerReference r:id="rId4" w:type="default"/>
      <w:pgSz w:w="11907" w:h="16840"/>
      <w:pgMar w:top="1418" w:right="1134" w:bottom="1134" w:left="1418" w:header="1021" w:footer="0" w:gutter="0"/>
      <w:pgNumType w:start="1"/>
      <w:cols w:space="425" w:num="1"/>
      <w:docGrid w:type="linesAndChars" w:linePitch="29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400" w:lineRule="exact"/>
      <w:jc w:val="center"/>
      <w:outlineLvl w:val="0"/>
      <w:rPr>
        <w:rFonts w:hint="eastAsia" w:ascii="宋体" w:hAnsi="宋体"/>
        <w:sz w:val="28"/>
      </w:rPr>
    </w:pPr>
    <w:r>
      <w:rPr>
        <w:rFonts w:hint="eastAsia" w:ascii="黑体" w:hAnsi="宋体" w:eastAsia="黑体"/>
        <w:bCs/>
        <w:spacing w:val="12"/>
        <w:sz w:val="28"/>
      </w:rPr>
      <w:t>江苏沿海农业机械检测有限公司</w:t>
    </w:r>
  </w:p>
  <w:p>
    <w:pPr>
      <w:rPr>
        <w:rFonts w:ascii="宋体" w:hAnsi="宋体"/>
        <w:sz w:val="24"/>
        <w:u w:val="single"/>
      </w:rPr>
    </w:pPr>
    <w:r>
      <w:rPr>
        <w:rFonts w:hint="eastAsia" w:ascii="宋体" w:hAnsi="宋体"/>
        <w:sz w:val="24"/>
        <w:u w:val="single"/>
      </w:rPr>
      <w:t xml:space="preserve"> №:YH</w:t>
    </w:r>
    <w:r>
      <w:rPr>
        <w:rFonts w:hint="eastAsia" w:ascii="宋体" w:hAnsi="宋体"/>
        <w:kern w:val="0"/>
        <w:sz w:val="24"/>
        <w:szCs w:val="21"/>
        <w:u w:val="single"/>
      </w:rPr>
      <w:t xml:space="preserve">2022WJ07×××                                  </w:t>
    </w:r>
    <w:r>
      <w:rPr>
        <w:rFonts w:hint="eastAsia" w:ascii="宋体" w:hAnsi="宋体"/>
        <w:sz w:val="24"/>
        <w:u w:val="single"/>
      </w:rPr>
      <w:t xml:space="preserve">       </w:t>
    </w:r>
    <w:r>
      <w:rPr>
        <w:rFonts w:hint="eastAsia" w:ascii="宋体" w:hAnsi="宋体"/>
        <w:kern w:val="0"/>
        <w:sz w:val="24"/>
        <w:szCs w:val="21"/>
        <w:u w:val="single"/>
      </w:rPr>
      <w:t xml:space="preserve">第 </w:t>
    </w:r>
    <w:r>
      <w:rPr>
        <w:rFonts w:ascii="宋体" w:hAnsi="宋体"/>
        <w:kern w:val="0"/>
        <w:sz w:val="24"/>
        <w:szCs w:val="21"/>
        <w:u w:val="single"/>
      </w:rPr>
      <w:fldChar w:fldCharType="begin"/>
    </w:r>
    <w:r>
      <w:rPr>
        <w:rFonts w:ascii="宋体" w:hAnsi="宋体"/>
        <w:kern w:val="0"/>
        <w:sz w:val="24"/>
        <w:szCs w:val="21"/>
        <w:u w:val="single"/>
      </w:rPr>
      <w:instrText xml:space="preserve"> PAGE </w:instrText>
    </w:r>
    <w:r>
      <w:rPr>
        <w:rFonts w:ascii="宋体" w:hAnsi="宋体"/>
        <w:kern w:val="0"/>
        <w:sz w:val="24"/>
        <w:szCs w:val="21"/>
        <w:u w:val="single"/>
      </w:rPr>
      <w:fldChar w:fldCharType="separate"/>
    </w:r>
    <w:r>
      <w:rPr>
        <w:rFonts w:ascii="宋体" w:hAnsi="宋体"/>
        <w:kern w:val="0"/>
        <w:sz w:val="24"/>
        <w:szCs w:val="21"/>
        <w:u w:val="single"/>
      </w:rPr>
      <w:t>1</w:t>
    </w:r>
    <w:r>
      <w:rPr>
        <w:rFonts w:ascii="宋体" w:hAnsi="宋体"/>
        <w:kern w:val="0"/>
        <w:sz w:val="24"/>
        <w:szCs w:val="21"/>
        <w:u w:val="single"/>
      </w:rPr>
      <w:fldChar w:fldCharType="end"/>
    </w:r>
    <w:r>
      <w:rPr>
        <w:rFonts w:hint="eastAsia" w:ascii="宋体" w:hAnsi="宋体"/>
        <w:kern w:val="0"/>
        <w:sz w:val="24"/>
        <w:szCs w:val="21"/>
        <w:u w:val="single"/>
      </w:rPr>
      <w:t xml:space="preserve"> 页 共 8 页</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9102AD"/>
    <w:multiLevelType w:val="multilevel"/>
    <w:tmpl w:val="079102AD"/>
    <w:lvl w:ilvl="0" w:tentative="0">
      <w:start w:val="1"/>
      <w:numFmt w:val="decimal"/>
      <w:pStyle w:val="39"/>
      <w:suff w:val="nothing"/>
      <w:lvlText w:val="注%1："/>
      <w:lvlJc w:val="left"/>
      <w:pPr>
        <w:ind w:left="811" w:hanging="448"/>
      </w:pPr>
      <w:rPr>
        <w:rFonts w:hint="eastAsia" w:ascii="黑体" w:eastAsia="黑体"/>
        <w:b w:val="0"/>
        <w:i w:val="0"/>
        <w:sz w:val="18"/>
        <w:lang w:val="en-US"/>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
    <w:nsid w:val="0AE367E9"/>
    <w:multiLevelType w:val="multilevel"/>
    <w:tmpl w:val="0AE367E9"/>
    <w:lvl w:ilvl="0" w:tentative="0">
      <w:start w:val="1"/>
      <w:numFmt w:val="none"/>
      <w:pStyle w:val="25"/>
      <w:lvlText w:val="%1示例"/>
      <w:lvlJc w:val="left"/>
      <w:pPr>
        <w:tabs>
          <w:tab w:val="left" w:pos="1120"/>
        </w:tabs>
        <w:ind w:left="0" w:firstLine="400"/>
      </w:pPr>
      <w:rPr>
        <w:rFonts w:hint="eastAsia" w:ascii="宋体" w:eastAsia="宋体"/>
        <w:b w:val="0"/>
        <w:i w:val="0"/>
        <w:sz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20727073"/>
    <w:multiLevelType w:val="multilevel"/>
    <w:tmpl w:val="20727073"/>
    <w:lvl w:ilvl="0" w:tentative="0">
      <w:start w:val="1"/>
      <w:numFmt w:val="decimal"/>
      <w:pStyle w:val="40"/>
      <w:lvlText w:val="%1."/>
      <w:lvlJc w:val="left"/>
      <w:pPr>
        <w:tabs>
          <w:tab w:val="left" w:pos="720"/>
        </w:tabs>
        <w:ind w:left="720" w:hanging="720"/>
      </w:pPr>
    </w:lvl>
    <w:lvl w:ilvl="1" w:tentative="0">
      <w:start w:val="1"/>
      <w:numFmt w:val="decimal"/>
      <w:lvlText w:val="%2."/>
      <w:lvlJc w:val="left"/>
      <w:pPr>
        <w:tabs>
          <w:tab w:val="left" w:pos="1440"/>
        </w:tabs>
        <w:ind w:left="1440" w:hanging="720"/>
      </w:pPr>
    </w:lvl>
    <w:lvl w:ilvl="2" w:tentative="0">
      <w:start w:val="1"/>
      <w:numFmt w:val="decimal"/>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3">
    <w:nsid w:val="557C2AF5"/>
    <w:multiLevelType w:val="multilevel"/>
    <w:tmpl w:val="557C2AF5"/>
    <w:lvl w:ilvl="0" w:tentative="0">
      <w:start w:val="1"/>
      <w:numFmt w:val="decimal"/>
      <w:pStyle w:val="34"/>
      <w:suff w:val="nothing"/>
      <w:lvlText w:val="图%1　"/>
      <w:lvlJc w:val="left"/>
      <w:pPr>
        <w:ind w:left="0" w:firstLine="0"/>
      </w:pPr>
      <w:rPr>
        <w:rFonts w:hint="eastAsia" w:ascii="黑体" w:hAnsi="Times New Roman" w:eastAsia="黑体"/>
        <w:b w:val="0"/>
        <w:i w:val="0"/>
        <w:sz w:val="21"/>
      </w:rPr>
    </w:lvl>
    <w:lvl w:ilvl="1" w:tentative="0">
      <w:start w:val="1"/>
      <w:numFmt w:val="decimal"/>
      <w:suff w:val="nothing"/>
      <w:lvlText w:val="%1%2　"/>
      <w:lvlJc w:val="left"/>
      <w:pPr>
        <w:ind w:left="0" w:firstLine="0"/>
      </w:pPr>
      <w:rPr>
        <w:rFonts w:hint="default" w:ascii="Times New Roman" w:hAnsi="Times New Roman" w:eastAsia="黑体"/>
        <w:b w:val="0"/>
        <w:i w:val="0"/>
        <w:sz w:val="21"/>
      </w:rPr>
    </w:lvl>
    <w:lvl w:ilvl="2" w:tentative="0">
      <w:start w:val="1"/>
      <w:numFmt w:val="decimal"/>
      <w:suff w:val="nothing"/>
      <w:lvlText w:val="%1%2.%3　"/>
      <w:lvlJc w:val="left"/>
      <w:pPr>
        <w:ind w:left="0" w:firstLine="0"/>
      </w:pPr>
      <w:rPr>
        <w:rFonts w:hint="default" w:ascii="Times New Roman" w:hAnsi="Times New Roman" w:eastAsia="黑体"/>
        <w:b w:val="0"/>
        <w:i w:val="0"/>
        <w:sz w:val="21"/>
      </w:rPr>
    </w:lvl>
    <w:lvl w:ilvl="3" w:tentative="0">
      <w:start w:val="1"/>
      <w:numFmt w:val="decimal"/>
      <w:suff w:val="nothing"/>
      <w:lvlText w:val="%1%2.%3.%4　"/>
      <w:lvlJc w:val="left"/>
      <w:pPr>
        <w:ind w:left="0" w:firstLine="0"/>
      </w:pPr>
      <w:rPr>
        <w:rFonts w:hint="default" w:ascii="Times New Roman" w:hAnsi="Times New Roman" w:eastAsia="黑体"/>
        <w:b w:val="0"/>
        <w:i w:val="0"/>
        <w:sz w:val="21"/>
      </w:rPr>
    </w:lvl>
    <w:lvl w:ilvl="4" w:tentative="0">
      <w:start w:val="1"/>
      <w:numFmt w:val="decimal"/>
      <w:suff w:val="nothing"/>
      <w:lvlText w:val="%1%2.%3.%4.%5　"/>
      <w:lvlJc w:val="left"/>
      <w:pPr>
        <w:ind w:left="0" w:firstLine="0"/>
      </w:pPr>
      <w:rPr>
        <w:rFonts w:hint="default" w:ascii="Times New Roman" w:hAnsi="Times New Roman" w:eastAsia="黑体"/>
        <w:b w:val="0"/>
        <w:i w:val="0"/>
        <w:sz w:val="21"/>
      </w:rPr>
    </w:lvl>
    <w:lvl w:ilvl="5" w:tentative="0">
      <w:start w:val="1"/>
      <w:numFmt w:val="decimal"/>
      <w:suff w:val="nothing"/>
      <w:lvlText w:val="%1%2.%3.%4.%5.%6　"/>
      <w:lvlJc w:val="left"/>
      <w:pPr>
        <w:ind w:left="0" w:firstLine="0"/>
      </w:pPr>
      <w:rPr>
        <w:rFonts w:hint="default" w:ascii="Times New Roman" w:hAnsi="Times New Roman" w:eastAsia="黑体"/>
        <w:b w:val="0"/>
        <w:i w:val="0"/>
        <w:sz w:val="21"/>
      </w:rPr>
    </w:lvl>
    <w:lvl w:ilvl="6" w:tentative="0">
      <w:start w:val="1"/>
      <w:numFmt w:val="decimal"/>
      <w:suff w:val="nothing"/>
      <w:lvlText w:val="%1%2.%3.%4.%5.%6.%7　"/>
      <w:lvlJc w:val="left"/>
      <w:pPr>
        <w:ind w:left="0" w:firstLine="0"/>
      </w:pPr>
      <w:rPr>
        <w:rFonts w:hint="default" w:ascii="Times New Roman"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4">
    <w:nsid w:val="646260FA"/>
    <w:multiLevelType w:val="multilevel"/>
    <w:tmpl w:val="646260FA"/>
    <w:lvl w:ilvl="0" w:tentative="0">
      <w:start w:val="1"/>
      <w:numFmt w:val="decimal"/>
      <w:pStyle w:val="17"/>
      <w:suff w:val="nothing"/>
      <w:lvlText w:val="表%1　"/>
      <w:lvlJc w:val="left"/>
      <w:pPr>
        <w:ind w:left="0" w:firstLine="0"/>
      </w:pPr>
      <w:rPr>
        <w:rFonts w:hint="eastAsia" w:ascii="黑体" w:hAnsi="Times New Roman" w:eastAsia="黑体"/>
        <w:b w:val="0"/>
        <w:i w:val="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5">
    <w:nsid w:val="657D3FBC"/>
    <w:multiLevelType w:val="multilevel"/>
    <w:tmpl w:val="657D3FBC"/>
    <w:lvl w:ilvl="0" w:tentative="0">
      <w:start w:val="1"/>
      <w:numFmt w:val="upperLetter"/>
      <w:pStyle w:val="27"/>
      <w:suff w:val="nothing"/>
      <w:lvlText w:val="附　录　%1"/>
      <w:lvlJc w:val="left"/>
      <w:pPr>
        <w:ind w:left="0" w:firstLine="0"/>
      </w:pPr>
      <w:rPr>
        <w:rFonts w:hint="eastAsia" w:ascii="黑体" w:hAnsi="Times New Roman" w:eastAsia="黑体"/>
        <w:b w:val="0"/>
        <w:i w:val="0"/>
        <w:sz w:val="21"/>
      </w:rPr>
    </w:lvl>
    <w:lvl w:ilvl="1" w:tentative="0">
      <w:start w:val="1"/>
      <w:numFmt w:val="decimal"/>
      <w:pStyle w:val="28"/>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29"/>
      <w:suff w:val="nothing"/>
      <w:lvlText w:val="%1.%2.%3　"/>
      <w:lvlJc w:val="left"/>
      <w:pPr>
        <w:ind w:left="0" w:firstLine="0"/>
      </w:pPr>
      <w:rPr>
        <w:rFonts w:hint="eastAsia" w:ascii="黑体" w:hAnsi="Times New Roman" w:eastAsia="黑体"/>
        <w:b w:val="0"/>
        <w:i w:val="0"/>
        <w:sz w:val="21"/>
      </w:rPr>
    </w:lvl>
    <w:lvl w:ilvl="3" w:tentative="0">
      <w:start w:val="1"/>
      <w:numFmt w:val="decimal"/>
      <w:pStyle w:val="30"/>
      <w:suff w:val="nothing"/>
      <w:lvlText w:val="%1.%2.%3.%4　"/>
      <w:lvlJc w:val="left"/>
      <w:pPr>
        <w:ind w:left="0" w:firstLine="0"/>
      </w:pPr>
      <w:rPr>
        <w:rFonts w:hint="eastAsia" w:ascii="黑体" w:hAnsi="Times New Roman" w:eastAsia="黑体"/>
        <w:b w:val="0"/>
        <w:i w:val="0"/>
        <w:sz w:val="21"/>
      </w:rPr>
    </w:lvl>
    <w:lvl w:ilvl="4" w:tentative="0">
      <w:start w:val="1"/>
      <w:numFmt w:val="decimal"/>
      <w:pStyle w:val="31"/>
      <w:suff w:val="nothing"/>
      <w:lvlText w:val="%1.%2.%3.%4.%5　"/>
      <w:lvlJc w:val="left"/>
      <w:pPr>
        <w:ind w:left="0" w:firstLine="0"/>
      </w:pPr>
      <w:rPr>
        <w:rFonts w:hint="eastAsia" w:ascii="黑体" w:hAnsi="Times New Roman" w:eastAsia="黑体"/>
        <w:b w:val="0"/>
        <w:i w:val="0"/>
        <w:sz w:val="21"/>
      </w:rPr>
    </w:lvl>
    <w:lvl w:ilvl="5" w:tentative="0">
      <w:start w:val="1"/>
      <w:numFmt w:val="decimal"/>
      <w:pStyle w:val="32"/>
      <w:suff w:val="nothing"/>
      <w:lvlText w:val="%1.%2.%3.%4.%5.%6　"/>
      <w:lvlJc w:val="left"/>
      <w:pPr>
        <w:ind w:left="0" w:firstLine="0"/>
      </w:pPr>
      <w:rPr>
        <w:rFonts w:hint="eastAsia" w:ascii="黑体" w:hAnsi="Times New Roman" w:eastAsia="黑体"/>
        <w:b w:val="0"/>
        <w:i w:val="0"/>
        <w:sz w:val="21"/>
      </w:rPr>
    </w:lvl>
    <w:lvl w:ilvl="6" w:tentative="0">
      <w:start w:val="1"/>
      <w:numFmt w:val="decimal"/>
      <w:pStyle w:val="33"/>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6">
    <w:nsid w:val="6CEA2025"/>
    <w:multiLevelType w:val="multilevel"/>
    <w:tmpl w:val="6CEA2025"/>
    <w:lvl w:ilvl="0" w:tentative="0">
      <w:start w:val="1"/>
      <w:numFmt w:val="none"/>
      <w:pStyle w:val="18"/>
      <w:suff w:val="nothing"/>
      <w:lvlText w:val="%1"/>
      <w:lvlJc w:val="left"/>
      <w:pPr>
        <w:ind w:left="0" w:firstLine="0"/>
      </w:pPr>
      <w:rPr>
        <w:rFonts w:hint="default" w:ascii="Times New Roman" w:hAnsi="Times New Roman"/>
        <w:b/>
        <w:i w:val="0"/>
        <w:sz w:val="21"/>
      </w:rPr>
    </w:lvl>
    <w:lvl w:ilvl="1" w:tentative="0">
      <w:start w:val="1"/>
      <w:numFmt w:val="decimal"/>
      <w:pStyle w:val="19"/>
      <w:suff w:val="nothing"/>
      <w:lvlText w:val="%1%2　"/>
      <w:lvlJc w:val="left"/>
      <w:pPr>
        <w:ind w:left="0" w:firstLine="0"/>
      </w:pPr>
      <w:rPr>
        <w:rFonts w:hint="eastAsia" w:ascii="黑体" w:hAnsi="Times New Roman" w:eastAsia="黑体"/>
        <w:b w:val="0"/>
        <w:i w:val="0"/>
        <w:sz w:val="21"/>
      </w:rPr>
    </w:lvl>
    <w:lvl w:ilvl="2" w:tentative="0">
      <w:start w:val="1"/>
      <w:numFmt w:val="decimal"/>
      <w:pStyle w:val="20"/>
      <w:suff w:val="nothing"/>
      <w:lvlText w:val="%1%2.%3　"/>
      <w:lvlJc w:val="left"/>
      <w:pPr>
        <w:ind w:left="0" w:firstLine="0"/>
      </w:pPr>
      <w:rPr>
        <w:rFonts w:hint="eastAsia" w:ascii="黑体" w:hAnsi="Times New Roman" w:eastAsia="黑体"/>
        <w:b w:val="0"/>
        <w:i w:val="0"/>
        <w:sz w:val="21"/>
      </w:rPr>
    </w:lvl>
    <w:lvl w:ilvl="3" w:tentative="0">
      <w:start w:val="1"/>
      <w:numFmt w:val="decimal"/>
      <w:pStyle w:val="21"/>
      <w:suff w:val="nothing"/>
      <w:lvlText w:val="%1%2.%3.%4　"/>
      <w:lvlJc w:val="left"/>
      <w:pPr>
        <w:ind w:left="0" w:firstLine="0"/>
      </w:pPr>
      <w:rPr>
        <w:rFonts w:hint="eastAsia" w:ascii="黑体" w:hAnsi="Times New Roman" w:eastAsia="黑体"/>
        <w:b w:val="0"/>
        <w:i w:val="0"/>
        <w:sz w:val="21"/>
      </w:rPr>
    </w:lvl>
    <w:lvl w:ilvl="4" w:tentative="0">
      <w:start w:val="1"/>
      <w:numFmt w:val="decimal"/>
      <w:pStyle w:val="22"/>
      <w:suff w:val="nothing"/>
      <w:lvlText w:val="%1%2.%3.%4.%5　"/>
      <w:lvlJc w:val="left"/>
      <w:pPr>
        <w:ind w:left="0" w:firstLine="0"/>
      </w:pPr>
      <w:rPr>
        <w:rFonts w:hint="eastAsia" w:ascii="黑体" w:hAnsi="Times New Roman" w:eastAsia="黑体"/>
        <w:b w:val="0"/>
        <w:i w:val="0"/>
        <w:sz w:val="21"/>
      </w:rPr>
    </w:lvl>
    <w:lvl w:ilvl="5" w:tentative="0">
      <w:start w:val="1"/>
      <w:numFmt w:val="decimal"/>
      <w:pStyle w:val="23"/>
      <w:suff w:val="nothing"/>
      <w:lvlText w:val="%1%2.%3.%4.%5.%6　"/>
      <w:lvlJc w:val="left"/>
      <w:pPr>
        <w:ind w:left="0" w:firstLine="0"/>
      </w:pPr>
      <w:rPr>
        <w:rFonts w:hint="eastAsia" w:ascii="黑体" w:hAnsi="Times New Roman" w:eastAsia="黑体"/>
        <w:b w:val="0"/>
        <w:i w:val="0"/>
        <w:sz w:val="21"/>
      </w:rPr>
    </w:lvl>
    <w:lvl w:ilvl="6" w:tentative="0">
      <w:start w:val="1"/>
      <w:numFmt w:val="decimal"/>
      <w:pStyle w:val="24"/>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4"/>
  </w:num>
  <w:num w:numId="2">
    <w:abstractNumId w:val="6"/>
  </w:num>
  <w:num w:numId="3">
    <w:abstractNumId w:val="1"/>
  </w:num>
  <w:num w:numId="4">
    <w:abstractNumId w:val="5"/>
  </w:num>
  <w:num w:numId="5">
    <w:abstractNumId w:val="3"/>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4"/>
  <w:drawingGridHorizontalSpacing w:val="105"/>
  <w:drawingGridVerticalSpacing w:val="146"/>
  <w:displayHorizontalDrawingGridEvery w:val="2"/>
  <w:displayVerticalDrawingGridEvery w:val="2"/>
  <w:characterSpacingControl w:val="compressPunctuation"/>
  <w:compat>
    <w:spaceForUL/>
    <w:balanceSingleByteDoubleByteWidth/>
    <w:doNotLeaveBackslashAlone/>
    <w:ulTrailSpace/>
    <w:doNotExpandShiftReturn/>
    <w:useFELayout/>
    <w:compatSetting w:name="compatibilityMode" w:uri="http://schemas.microsoft.com/office/word" w:val="12"/>
  </w:compat>
  <w:docVars>
    <w:docVar w:name="commondata" w:val="eyJoZGlkIjoiMDUwODI5Y2YzNzk0MjI2NDdhZDI0NjdlMzdjZmMxNjQifQ=="/>
  </w:docVars>
  <w:rsids>
    <w:rsidRoot w:val="00751B8B"/>
    <w:rsid w:val="00011E9F"/>
    <w:rsid w:val="00012051"/>
    <w:rsid w:val="000159F1"/>
    <w:rsid w:val="00021ED1"/>
    <w:rsid w:val="000229BF"/>
    <w:rsid w:val="000255ED"/>
    <w:rsid w:val="00026FF1"/>
    <w:rsid w:val="00027135"/>
    <w:rsid w:val="0003141A"/>
    <w:rsid w:val="000314EF"/>
    <w:rsid w:val="0003177F"/>
    <w:rsid w:val="00034A2F"/>
    <w:rsid w:val="00035558"/>
    <w:rsid w:val="00035741"/>
    <w:rsid w:val="0003743D"/>
    <w:rsid w:val="000433F8"/>
    <w:rsid w:val="000437AC"/>
    <w:rsid w:val="00044EA1"/>
    <w:rsid w:val="0004784D"/>
    <w:rsid w:val="00047D2A"/>
    <w:rsid w:val="00047E84"/>
    <w:rsid w:val="00050D36"/>
    <w:rsid w:val="00052770"/>
    <w:rsid w:val="00053D08"/>
    <w:rsid w:val="00064BC3"/>
    <w:rsid w:val="00073C23"/>
    <w:rsid w:val="000766C3"/>
    <w:rsid w:val="00083970"/>
    <w:rsid w:val="0009199A"/>
    <w:rsid w:val="00092B13"/>
    <w:rsid w:val="000A7F8C"/>
    <w:rsid w:val="000B324E"/>
    <w:rsid w:val="000C04AF"/>
    <w:rsid w:val="000C0D9C"/>
    <w:rsid w:val="000C2681"/>
    <w:rsid w:val="000C61BD"/>
    <w:rsid w:val="000D2255"/>
    <w:rsid w:val="000D24F8"/>
    <w:rsid w:val="000D5177"/>
    <w:rsid w:val="000D71E5"/>
    <w:rsid w:val="000E01C8"/>
    <w:rsid w:val="000E315F"/>
    <w:rsid w:val="000E3EAA"/>
    <w:rsid w:val="000E3F7B"/>
    <w:rsid w:val="000E4766"/>
    <w:rsid w:val="000F0280"/>
    <w:rsid w:val="000F471E"/>
    <w:rsid w:val="000F514F"/>
    <w:rsid w:val="000F543A"/>
    <w:rsid w:val="000F681C"/>
    <w:rsid w:val="00102950"/>
    <w:rsid w:val="00102D3D"/>
    <w:rsid w:val="00102D61"/>
    <w:rsid w:val="001050EE"/>
    <w:rsid w:val="00106106"/>
    <w:rsid w:val="00106C0C"/>
    <w:rsid w:val="00110118"/>
    <w:rsid w:val="00115935"/>
    <w:rsid w:val="00120869"/>
    <w:rsid w:val="0012443E"/>
    <w:rsid w:val="001269BF"/>
    <w:rsid w:val="00127257"/>
    <w:rsid w:val="00130865"/>
    <w:rsid w:val="00132CC9"/>
    <w:rsid w:val="00135DF6"/>
    <w:rsid w:val="00140221"/>
    <w:rsid w:val="00140CCE"/>
    <w:rsid w:val="00141BF7"/>
    <w:rsid w:val="001441D9"/>
    <w:rsid w:val="00145316"/>
    <w:rsid w:val="00147508"/>
    <w:rsid w:val="0015085F"/>
    <w:rsid w:val="0015211F"/>
    <w:rsid w:val="00152A04"/>
    <w:rsid w:val="00153A6B"/>
    <w:rsid w:val="00153CEC"/>
    <w:rsid w:val="00156E2B"/>
    <w:rsid w:val="00157FB8"/>
    <w:rsid w:val="0016035C"/>
    <w:rsid w:val="001627D9"/>
    <w:rsid w:val="001703FA"/>
    <w:rsid w:val="00173255"/>
    <w:rsid w:val="00173884"/>
    <w:rsid w:val="00175D5E"/>
    <w:rsid w:val="00176C08"/>
    <w:rsid w:val="00177C7A"/>
    <w:rsid w:val="0019369D"/>
    <w:rsid w:val="00194831"/>
    <w:rsid w:val="00197F48"/>
    <w:rsid w:val="001A0C00"/>
    <w:rsid w:val="001A23BA"/>
    <w:rsid w:val="001A2B38"/>
    <w:rsid w:val="001A30DB"/>
    <w:rsid w:val="001A4E1A"/>
    <w:rsid w:val="001A5A3A"/>
    <w:rsid w:val="001A7250"/>
    <w:rsid w:val="001B1D51"/>
    <w:rsid w:val="001C00A5"/>
    <w:rsid w:val="001C232F"/>
    <w:rsid w:val="001C5FC9"/>
    <w:rsid w:val="001D1B42"/>
    <w:rsid w:val="001E0055"/>
    <w:rsid w:val="001E11EC"/>
    <w:rsid w:val="001E69C1"/>
    <w:rsid w:val="001F3623"/>
    <w:rsid w:val="001F4003"/>
    <w:rsid w:val="001F545C"/>
    <w:rsid w:val="00201B04"/>
    <w:rsid w:val="002047EC"/>
    <w:rsid w:val="00211726"/>
    <w:rsid w:val="00211A67"/>
    <w:rsid w:val="00211F38"/>
    <w:rsid w:val="002134FD"/>
    <w:rsid w:val="002139A8"/>
    <w:rsid w:val="00213F6C"/>
    <w:rsid w:val="00214A74"/>
    <w:rsid w:val="00224F7E"/>
    <w:rsid w:val="002252B0"/>
    <w:rsid w:val="0023144E"/>
    <w:rsid w:val="00232A11"/>
    <w:rsid w:val="00235616"/>
    <w:rsid w:val="00235801"/>
    <w:rsid w:val="00240A40"/>
    <w:rsid w:val="002459BB"/>
    <w:rsid w:val="002521DE"/>
    <w:rsid w:val="0025732B"/>
    <w:rsid w:val="00261EA7"/>
    <w:rsid w:val="0026264D"/>
    <w:rsid w:val="0027254D"/>
    <w:rsid w:val="00274AA2"/>
    <w:rsid w:val="00280670"/>
    <w:rsid w:val="00282741"/>
    <w:rsid w:val="00283233"/>
    <w:rsid w:val="002873D8"/>
    <w:rsid w:val="00287C5F"/>
    <w:rsid w:val="00292F5E"/>
    <w:rsid w:val="002972A3"/>
    <w:rsid w:val="002A0BD9"/>
    <w:rsid w:val="002A26A9"/>
    <w:rsid w:val="002A33E7"/>
    <w:rsid w:val="002A383E"/>
    <w:rsid w:val="002A3DE8"/>
    <w:rsid w:val="002A3E86"/>
    <w:rsid w:val="002A3ECC"/>
    <w:rsid w:val="002A6181"/>
    <w:rsid w:val="002B59F9"/>
    <w:rsid w:val="002C3CA1"/>
    <w:rsid w:val="002C3DC5"/>
    <w:rsid w:val="002C4A5F"/>
    <w:rsid w:val="002C6281"/>
    <w:rsid w:val="002C78D1"/>
    <w:rsid w:val="002C7ED3"/>
    <w:rsid w:val="002D0073"/>
    <w:rsid w:val="002D49F4"/>
    <w:rsid w:val="002D59CE"/>
    <w:rsid w:val="002E4597"/>
    <w:rsid w:val="002E5185"/>
    <w:rsid w:val="002F3072"/>
    <w:rsid w:val="002F50A9"/>
    <w:rsid w:val="00303CF6"/>
    <w:rsid w:val="00305119"/>
    <w:rsid w:val="003051CF"/>
    <w:rsid w:val="00306647"/>
    <w:rsid w:val="0030762F"/>
    <w:rsid w:val="003204DF"/>
    <w:rsid w:val="00321326"/>
    <w:rsid w:val="00321670"/>
    <w:rsid w:val="00325ACD"/>
    <w:rsid w:val="003327A9"/>
    <w:rsid w:val="00337390"/>
    <w:rsid w:val="00337FBF"/>
    <w:rsid w:val="0034296E"/>
    <w:rsid w:val="00343BBD"/>
    <w:rsid w:val="0034432A"/>
    <w:rsid w:val="0034432C"/>
    <w:rsid w:val="00350E93"/>
    <w:rsid w:val="00353622"/>
    <w:rsid w:val="00353B88"/>
    <w:rsid w:val="00356D3A"/>
    <w:rsid w:val="0035762D"/>
    <w:rsid w:val="00357B15"/>
    <w:rsid w:val="0036218A"/>
    <w:rsid w:val="00366AD7"/>
    <w:rsid w:val="00367DE6"/>
    <w:rsid w:val="003713EF"/>
    <w:rsid w:val="00373A1E"/>
    <w:rsid w:val="00374DE8"/>
    <w:rsid w:val="00377810"/>
    <w:rsid w:val="0038097D"/>
    <w:rsid w:val="0038223E"/>
    <w:rsid w:val="0038359E"/>
    <w:rsid w:val="00383A81"/>
    <w:rsid w:val="00386088"/>
    <w:rsid w:val="003873D3"/>
    <w:rsid w:val="0039007E"/>
    <w:rsid w:val="00390164"/>
    <w:rsid w:val="00390B8E"/>
    <w:rsid w:val="00391B3E"/>
    <w:rsid w:val="00393B41"/>
    <w:rsid w:val="00394987"/>
    <w:rsid w:val="003949CC"/>
    <w:rsid w:val="003A2268"/>
    <w:rsid w:val="003A440D"/>
    <w:rsid w:val="003A4DDF"/>
    <w:rsid w:val="003A6651"/>
    <w:rsid w:val="003B02D0"/>
    <w:rsid w:val="003B1070"/>
    <w:rsid w:val="003B16F7"/>
    <w:rsid w:val="003B2482"/>
    <w:rsid w:val="003B2D8E"/>
    <w:rsid w:val="003B6B15"/>
    <w:rsid w:val="003C0867"/>
    <w:rsid w:val="003C2982"/>
    <w:rsid w:val="003C2996"/>
    <w:rsid w:val="003C2E27"/>
    <w:rsid w:val="003C3ABD"/>
    <w:rsid w:val="003D015F"/>
    <w:rsid w:val="003D2535"/>
    <w:rsid w:val="003D3751"/>
    <w:rsid w:val="003D5338"/>
    <w:rsid w:val="003E1E09"/>
    <w:rsid w:val="003E2CB8"/>
    <w:rsid w:val="003E6486"/>
    <w:rsid w:val="003E69EE"/>
    <w:rsid w:val="003F332B"/>
    <w:rsid w:val="0040305A"/>
    <w:rsid w:val="0040702B"/>
    <w:rsid w:val="00411418"/>
    <w:rsid w:val="0041246A"/>
    <w:rsid w:val="004149DA"/>
    <w:rsid w:val="004159FD"/>
    <w:rsid w:val="00424323"/>
    <w:rsid w:val="00425DB1"/>
    <w:rsid w:val="00430448"/>
    <w:rsid w:val="004313E2"/>
    <w:rsid w:val="004315F0"/>
    <w:rsid w:val="00441AE9"/>
    <w:rsid w:val="00443FA5"/>
    <w:rsid w:val="004455B8"/>
    <w:rsid w:val="004477B1"/>
    <w:rsid w:val="00452AAB"/>
    <w:rsid w:val="00452E22"/>
    <w:rsid w:val="00466AAB"/>
    <w:rsid w:val="00467186"/>
    <w:rsid w:val="0047090B"/>
    <w:rsid w:val="004744A2"/>
    <w:rsid w:val="0047742F"/>
    <w:rsid w:val="004879D7"/>
    <w:rsid w:val="00493C55"/>
    <w:rsid w:val="00493D99"/>
    <w:rsid w:val="0049444F"/>
    <w:rsid w:val="0049785F"/>
    <w:rsid w:val="004A02EC"/>
    <w:rsid w:val="004A0CD6"/>
    <w:rsid w:val="004A5C33"/>
    <w:rsid w:val="004A5E63"/>
    <w:rsid w:val="004A6E77"/>
    <w:rsid w:val="004A7A90"/>
    <w:rsid w:val="004A7F53"/>
    <w:rsid w:val="004B04DF"/>
    <w:rsid w:val="004B3907"/>
    <w:rsid w:val="004B5AD1"/>
    <w:rsid w:val="004D472A"/>
    <w:rsid w:val="004E09CC"/>
    <w:rsid w:val="004E2963"/>
    <w:rsid w:val="004E7C09"/>
    <w:rsid w:val="004F15F2"/>
    <w:rsid w:val="004F3345"/>
    <w:rsid w:val="004F3369"/>
    <w:rsid w:val="004F74FB"/>
    <w:rsid w:val="005024BA"/>
    <w:rsid w:val="00502F79"/>
    <w:rsid w:val="005130E6"/>
    <w:rsid w:val="005158D0"/>
    <w:rsid w:val="00516A9D"/>
    <w:rsid w:val="00517A0F"/>
    <w:rsid w:val="00521263"/>
    <w:rsid w:val="00523C59"/>
    <w:rsid w:val="0052527D"/>
    <w:rsid w:val="00526681"/>
    <w:rsid w:val="00527E91"/>
    <w:rsid w:val="00532212"/>
    <w:rsid w:val="005328BC"/>
    <w:rsid w:val="005332D7"/>
    <w:rsid w:val="0053417B"/>
    <w:rsid w:val="005348F6"/>
    <w:rsid w:val="00534D5D"/>
    <w:rsid w:val="005362BF"/>
    <w:rsid w:val="005365F9"/>
    <w:rsid w:val="00536717"/>
    <w:rsid w:val="00537A4E"/>
    <w:rsid w:val="0054126E"/>
    <w:rsid w:val="0054133C"/>
    <w:rsid w:val="0054367C"/>
    <w:rsid w:val="00544826"/>
    <w:rsid w:val="005473C9"/>
    <w:rsid w:val="00554FA5"/>
    <w:rsid w:val="005561D3"/>
    <w:rsid w:val="00557348"/>
    <w:rsid w:val="00563216"/>
    <w:rsid w:val="005633EC"/>
    <w:rsid w:val="005652D9"/>
    <w:rsid w:val="0056689A"/>
    <w:rsid w:val="00570F68"/>
    <w:rsid w:val="00596764"/>
    <w:rsid w:val="005A01E3"/>
    <w:rsid w:val="005A1BFB"/>
    <w:rsid w:val="005A2F22"/>
    <w:rsid w:val="005B1307"/>
    <w:rsid w:val="005B1BEF"/>
    <w:rsid w:val="005B1D3F"/>
    <w:rsid w:val="005B3491"/>
    <w:rsid w:val="005B35F4"/>
    <w:rsid w:val="005B3716"/>
    <w:rsid w:val="005B41F1"/>
    <w:rsid w:val="005B51ED"/>
    <w:rsid w:val="005B7910"/>
    <w:rsid w:val="005C2EBF"/>
    <w:rsid w:val="005C50C5"/>
    <w:rsid w:val="005C64AB"/>
    <w:rsid w:val="005C7438"/>
    <w:rsid w:val="005C7728"/>
    <w:rsid w:val="005D0E57"/>
    <w:rsid w:val="005D2A6F"/>
    <w:rsid w:val="005D763D"/>
    <w:rsid w:val="005E0134"/>
    <w:rsid w:val="005E63F3"/>
    <w:rsid w:val="005E7ACB"/>
    <w:rsid w:val="005F02FF"/>
    <w:rsid w:val="005F5F9A"/>
    <w:rsid w:val="00601601"/>
    <w:rsid w:val="00602108"/>
    <w:rsid w:val="00602FF3"/>
    <w:rsid w:val="00603CC2"/>
    <w:rsid w:val="00604D5E"/>
    <w:rsid w:val="006050D8"/>
    <w:rsid w:val="00616490"/>
    <w:rsid w:val="00616B9D"/>
    <w:rsid w:val="006170B6"/>
    <w:rsid w:val="00624245"/>
    <w:rsid w:val="006251B6"/>
    <w:rsid w:val="006314DA"/>
    <w:rsid w:val="00633847"/>
    <w:rsid w:val="00633C1C"/>
    <w:rsid w:val="00642801"/>
    <w:rsid w:val="00643870"/>
    <w:rsid w:val="00644EF7"/>
    <w:rsid w:val="006522C2"/>
    <w:rsid w:val="00654D89"/>
    <w:rsid w:val="00655D8A"/>
    <w:rsid w:val="00656012"/>
    <w:rsid w:val="00663208"/>
    <w:rsid w:val="00664F54"/>
    <w:rsid w:val="00664FD9"/>
    <w:rsid w:val="006708F5"/>
    <w:rsid w:val="006759D9"/>
    <w:rsid w:val="0068076E"/>
    <w:rsid w:val="00680A99"/>
    <w:rsid w:val="00687092"/>
    <w:rsid w:val="00691ED7"/>
    <w:rsid w:val="00693F3C"/>
    <w:rsid w:val="006A1CB8"/>
    <w:rsid w:val="006A2324"/>
    <w:rsid w:val="006A30E5"/>
    <w:rsid w:val="006A3B11"/>
    <w:rsid w:val="006A76A0"/>
    <w:rsid w:val="006B266B"/>
    <w:rsid w:val="006B2A55"/>
    <w:rsid w:val="006B4198"/>
    <w:rsid w:val="006B5C07"/>
    <w:rsid w:val="006C09FF"/>
    <w:rsid w:val="006C38BF"/>
    <w:rsid w:val="006C3DBB"/>
    <w:rsid w:val="006C7E68"/>
    <w:rsid w:val="006D270F"/>
    <w:rsid w:val="006D32D4"/>
    <w:rsid w:val="006E5A6F"/>
    <w:rsid w:val="006F3663"/>
    <w:rsid w:val="00703A59"/>
    <w:rsid w:val="007059D9"/>
    <w:rsid w:val="007069D9"/>
    <w:rsid w:val="00711965"/>
    <w:rsid w:val="00713730"/>
    <w:rsid w:val="0071408B"/>
    <w:rsid w:val="0072268E"/>
    <w:rsid w:val="00726214"/>
    <w:rsid w:val="00727C85"/>
    <w:rsid w:val="00730CD6"/>
    <w:rsid w:val="00731BA7"/>
    <w:rsid w:val="00732CD5"/>
    <w:rsid w:val="00734998"/>
    <w:rsid w:val="00742D19"/>
    <w:rsid w:val="007452E0"/>
    <w:rsid w:val="00751B8B"/>
    <w:rsid w:val="00755BCB"/>
    <w:rsid w:val="00757A83"/>
    <w:rsid w:val="00760E23"/>
    <w:rsid w:val="007635A3"/>
    <w:rsid w:val="00763F2F"/>
    <w:rsid w:val="00766C40"/>
    <w:rsid w:val="007824B7"/>
    <w:rsid w:val="00785882"/>
    <w:rsid w:val="00791F8A"/>
    <w:rsid w:val="00793B77"/>
    <w:rsid w:val="007A243A"/>
    <w:rsid w:val="007A30DF"/>
    <w:rsid w:val="007A3642"/>
    <w:rsid w:val="007A4E09"/>
    <w:rsid w:val="007A7075"/>
    <w:rsid w:val="007A78E5"/>
    <w:rsid w:val="007B06EB"/>
    <w:rsid w:val="007B3062"/>
    <w:rsid w:val="007B5351"/>
    <w:rsid w:val="007B7AF8"/>
    <w:rsid w:val="007C106A"/>
    <w:rsid w:val="007C2E08"/>
    <w:rsid w:val="007C2E28"/>
    <w:rsid w:val="007C51B4"/>
    <w:rsid w:val="007C6DB1"/>
    <w:rsid w:val="007C7B44"/>
    <w:rsid w:val="007D016E"/>
    <w:rsid w:val="007D2975"/>
    <w:rsid w:val="007D2A29"/>
    <w:rsid w:val="007D442A"/>
    <w:rsid w:val="007D45CF"/>
    <w:rsid w:val="007D48B5"/>
    <w:rsid w:val="007D7B50"/>
    <w:rsid w:val="007E3C65"/>
    <w:rsid w:val="007E4896"/>
    <w:rsid w:val="007E6D7D"/>
    <w:rsid w:val="007E7D27"/>
    <w:rsid w:val="007F4991"/>
    <w:rsid w:val="007F5C92"/>
    <w:rsid w:val="008051A3"/>
    <w:rsid w:val="008110DA"/>
    <w:rsid w:val="00811D3B"/>
    <w:rsid w:val="0081780E"/>
    <w:rsid w:val="00817C3A"/>
    <w:rsid w:val="00820BD3"/>
    <w:rsid w:val="00826FE2"/>
    <w:rsid w:val="00827A46"/>
    <w:rsid w:val="008346B3"/>
    <w:rsid w:val="00834D34"/>
    <w:rsid w:val="00835C48"/>
    <w:rsid w:val="00842EAC"/>
    <w:rsid w:val="00843715"/>
    <w:rsid w:val="00843921"/>
    <w:rsid w:val="00843C79"/>
    <w:rsid w:val="00847ADE"/>
    <w:rsid w:val="00850FD8"/>
    <w:rsid w:val="00853416"/>
    <w:rsid w:val="00857136"/>
    <w:rsid w:val="00861362"/>
    <w:rsid w:val="00862019"/>
    <w:rsid w:val="0086753F"/>
    <w:rsid w:val="00867A4B"/>
    <w:rsid w:val="008719CD"/>
    <w:rsid w:val="00875849"/>
    <w:rsid w:val="00880AFB"/>
    <w:rsid w:val="00885B1C"/>
    <w:rsid w:val="00887A93"/>
    <w:rsid w:val="008908C4"/>
    <w:rsid w:val="00890CFE"/>
    <w:rsid w:val="00890DC8"/>
    <w:rsid w:val="00892B55"/>
    <w:rsid w:val="00895E70"/>
    <w:rsid w:val="00897DD8"/>
    <w:rsid w:val="008B1C0B"/>
    <w:rsid w:val="008B3F06"/>
    <w:rsid w:val="008B628D"/>
    <w:rsid w:val="008C3B9E"/>
    <w:rsid w:val="008C48A8"/>
    <w:rsid w:val="008C7291"/>
    <w:rsid w:val="008E5658"/>
    <w:rsid w:val="008E6A87"/>
    <w:rsid w:val="008E6DDF"/>
    <w:rsid w:val="008F58B2"/>
    <w:rsid w:val="008F5F21"/>
    <w:rsid w:val="008F6481"/>
    <w:rsid w:val="00900AF1"/>
    <w:rsid w:val="00902007"/>
    <w:rsid w:val="0090282B"/>
    <w:rsid w:val="009049FE"/>
    <w:rsid w:val="0090517F"/>
    <w:rsid w:val="00905B18"/>
    <w:rsid w:val="00911828"/>
    <w:rsid w:val="00913919"/>
    <w:rsid w:val="00913BC9"/>
    <w:rsid w:val="0091690B"/>
    <w:rsid w:val="009169E8"/>
    <w:rsid w:val="009170FC"/>
    <w:rsid w:val="009177DB"/>
    <w:rsid w:val="009235FF"/>
    <w:rsid w:val="00925DA4"/>
    <w:rsid w:val="00930A1B"/>
    <w:rsid w:val="00930D43"/>
    <w:rsid w:val="00937801"/>
    <w:rsid w:val="00937DBC"/>
    <w:rsid w:val="00940C4D"/>
    <w:rsid w:val="00942B41"/>
    <w:rsid w:val="009434A5"/>
    <w:rsid w:val="00943591"/>
    <w:rsid w:val="009442AE"/>
    <w:rsid w:val="00944490"/>
    <w:rsid w:val="00944DCA"/>
    <w:rsid w:val="00945ADA"/>
    <w:rsid w:val="009515FC"/>
    <w:rsid w:val="00955B6F"/>
    <w:rsid w:val="00962A42"/>
    <w:rsid w:val="009641F2"/>
    <w:rsid w:val="009647F3"/>
    <w:rsid w:val="00965796"/>
    <w:rsid w:val="00971E33"/>
    <w:rsid w:val="00974ABD"/>
    <w:rsid w:val="00974FD5"/>
    <w:rsid w:val="00981683"/>
    <w:rsid w:val="0098217F"/>
    <w:rsid w:val="0098218F"/>
    <w:rsid w:val="009828BC"/>
    <w:rsid w:val="00982D5F"/>
    <w:rsid w:val="00987C8B"/>
    <w:rsid w:val="00996764"/>
    <w:rsid w:val="009A1E6B"/>
    <w:rsid w:val="009A431A"/>
    <w:rsid w:val="009A708D"/>
    <w:rsid w:val="009A74B9"/>
    <w:rsid w:val="009B1A78"/>
    <w:rsid w:val="009C43E0"/>
    <w:rsid w:val="009D0CC8"/>
    <w:rsid w:val="009D12AF"/>
    <w:rsid w:val="009D1804"/>
    <w:rsid w:val="009D49AF"/>
    <w:rsid w:val="009D4EF0"/>
    <w:rsid w:val="009D643B"/>
    <w:rsid w:val="009E3E39"/>
    <w:rsid w:val="009E7C37"/>
    <w:rsid w:val="009F305B"/>
    <w:rsid w:val="009F7A29"/>
    <w:rsid w:val="00A01A9D"/>
    <w:rsid w:val="00A02F9A"/>
    <w:rsid w:val="00A07D51"/>
    <w:rsid w:val="00A134FD"/>
    <w:rsid w:val="00A159FB"/>
    <w:rsid w:val="00A215AF"/>
    <w:rsid w:val="00A2175A"/>
    <w:rsid w:val="00A2182B"/>
    <w:rsid w:val="00A247B6"/>
    <w:rsid w:val="00A24B7F"/>
    <w:rsid w:val="00A25A09"/>
    <w:rsid w:val="00A25CD2"/>
    <w:rsid w:val="00A25F1E"/>
    <w:rsid w:val="00A263A0"/>
    <w:rsid w:val="00A269F7"/>
    <w:rsid w:val="00A30AA9"/>
    <w:rsid w:val="00A30CB0"/>
    <w:rsid w:val="00A33E85"/>
    <w:rsid w:val="00A3558C"/>
    <w:rsid w:val="00A41450"/>
    <w:rsid w:val="00A47710"/>
    <w:rsid w:val="00A54656"/>
    <w:rsid w:val="00A55D3A"/>
    <w:rsid w:val="00A57768"/>
    <w:rsid w:val="00A60BF6"/>
    <w:rsid w:val="00A6473D"/>
    <w:rsid w:val="00A6502A"/>
    <w:rsid w:val="00A667D4"/>
    <w:rsid w:val="00A708CE"/>
    <w:rsid w:val="00A7211F"/>
    <w:rsid w:val="00A77B37"/>
    <w:rsid w:val="00A816C4"/>
    <w:rsid w:val="00A82FC2"/>
    <w:rsid w:val="00A932C9"/>
    <w:rsid w:val="00A93CBE"/>
    <w:rsid w:val="00AA0413"/>
    <w:rsid w:val="00AA21DE"/>
    <w:rsid w:val="00AA3BAD"/>
    <w:rsid w:val="00AA3BEF"/>
    <w:rsid w:val="00AA48B9"/>
    <w:rsid w:val="00AA4AB3"/>
    <w:rsid w:val="00AB2F6D"/>
    <w:rsid w:val="00AB382A"/>
    <w:rsid w:val="00AB4947"/>
    <w:rsid w:val="00AB54D8"/>
    <w:rsid w:val="00AB6801"/>
    <w:rsid w:val="00AB7017"/>
    <w:rsid w:val="00AB708E"/>
    <w:rsid w:val="00AC17B1"/>
    <w:rsid w:val="00AC40AA"/>
    <w:rsid w:val="00AC6ED6"/>
    <w:rsid w:val="00AD09FB"/>
    <w:rsid w:val="00AD2035"/>
    <w:rsid w:val="00AD327A"/>
    <w:rsid w:val="00AD3B39"/>
    <w:rsid w:val="00AD6079"/>
    <w:rsid w:val="00AE0E46"/>
    <w:rsid w:val="00AE49E6"/>
    <w:rsid w:val="00AE5642"/>
    <w:rsid w:val="00AF3C9D"/>
    <w:rsid w:val="00AF65DB"/>
    <w:rsid w:val="00B006B4"/>
    <w:rsid w:val="00B02F6D"/>
    <w:rsid w:val="00B07F50"/>
    <w:rsid w:val="00B10D7B"/>
    <w:rsid w:val="00B1352A"/>
    <w:rsid w:val="00B14A73"/>
    <w:rsid w:val="00B17EAB"/>
    <w:rsid w:val="00B17FD2"/>
    <w:rsid w:val="00B23A4D"/>
    <w:rsid w:val="00B23FC6"/>
    <w:rsid w:val="00B24C08"/>
    <w:rsid w:val="00B3710B"/>
    <w:rsid w:val="00B377F3"/>
    <w:rsid w:val="00B410D7"/>
    <w:rsid w:val="00B50403"/>
    <w:rsid w:val="00B5096C"/>
    <w:rsid w:val="00B5148B"/>
    <w:rsid w:val="00B51BC7"/>
    <w:rsid w:val="00B51FBA"/>
    <w:rsid w:val="00B545C3"/>
    <w:rsid w:val="00B626D9"/>
    <w:rsid w:val="00B65AB4"/>
    <w:rsid w:val="00B676D7"/>
    <w:rsid w:val="00B724D7"/>
    <w:rsid w:val="00B73C1B"/>
    <w:rsid w:val="00B74365"/>
    <w:rsid w:val="00B74F0A"/>
    <w:rsid w:val="00B75418"/>
    <w:rsid w:val="00B76D15"/>
    <w:rsid w:val="00B855F0"/>
    <w:rsid w:val="00B86746"/>
    <w:rsid w:val="00B93B1C"/>
    <w:rsid w:val="00B95C1D"/>
    <w:rsid w:val="00BA5770"/>
    <w:rsid w:val="00BA6D86"/>
    <w:rsid w:val="00BB206B"/>
    <w:rsid w:val="00BC0733"/>
    <w:rsid w:val="00BC5D4B"/>
    <w:rsid w:val="00BC65D1"/>
    <w:rsid w:val="00BD0181"/>
    <w:rsid w:val="00BD2985"/>
    <w:rsid w:val="00BD36A8"/>
    <w:rsid w:val="00BD6718"/>
    <w:rsid w:val="00BE1549"/>
    <w:rsid w:val="00BE3112"/>
    <w:rsid w:val="00BE3E42"/>
    <w:rsid w:val="00BE77D0"/>
    <w:rsid w:val="00BE79F2"/>
    <w:rsid w:val="00BF22BD"/>
    <w:rsid w:val="00BF3191"/>
    <w:rsid w:val="00BF6B1F"/>
    <w:rsid w:val="00C003E6"/>
    <w:rsid w:val="00C05AD3"/>
    <w:rsid w:val="00C06931"/>
    <w:rsid w:val="00C14765"/>
    <w:rsid w:val="00C24C90"/>
    <w:rsid w:val="00C25A35"/>
    <w:rsid w:val="00C31783"/>
    <w:rsid w:val="00C31F8B"/>
    <w:rsid w:val="00C34353"/>
    <w:rsid w:val="00C35A9F"/>
    <w:rsid w:val="00C35D63"/>
    <w:rsid w:val="00C36180"/>
    <w:rsid w:val="00C36E61"/>
    <w:rsid w:val="00C37000"/>
    <w:rsid w:val="00C376D0"/>
    <w:rsid w:val="00C40F94"/>
    <w:rsid w:val="00C43D87"/>
    <w:rsid w:val="00C44A19"/>
    <w:rsid w:val="00C46D0F"/>
    <w:rsid w:val="00C52C73"/>
    <w:rsid w:val="00C5545C"/>
    <w:rsid w:val="00C602D8"/>
    <w:rsid w:val="00C61A60"/>
    <w:rsid w:val="00C63C7D"/>
    <w:rsid w:val="00C66DE5"/>
    <w:rsid w:val="00C67C64"/>
    <w:rsid w:val="00C7613D"/>
    <w:rsid w:val="00C82151"/>
    <w:rsid w:val="00C8246B"/>
    <w:rsid w:val="00C91933"/>
    <w:rsid w:val="00C921A6"/>
    <w:rsid w:val="00C930C0"/>
    <w:rsid w:val="00C94C27"/>
    <w:rsid w:val="00C96D1D"/>
    <w:rsid w:val="00CA0609"/>
    <w:rsid w:val="00CA1B13"/>
    <w:rsid w:val="00CA2039"/>
    <w:rsid w:val="00CA234E"/>
    <w:rsid w:val="00CA2FBE"/>
    <w:rsid w:val="00CA430B"/>
    <w:rsid w:val="00CA72E3"/>
    <w:rsid w:val="00CB15EE"/>
    <w:rsid w:val="00CB31E7"/>
    <w:rsid w:val="00CC7A32"/>
    <w:rsid w:val="00CC7DCA"/>
    <w:rsid w:val="00CD2874"/>
    <w:rsid w:val="00CD3CAD"/>
    <w:rsid w:val="00CD452D"/>
    <w:rsid w:val="00CD6449"/>
    <w:rsid w:val="00CE063A"/>
    <w:rsid w:val="00CE123E"/>
    <w:rsid w:val="00CE74F3"/>
    <w:rsid w:val="00CF0B7B"/>
    <w:rsid w:val="00CF2EE1"/>
    <w:rsid w:val="00CF4D12"/>
    <w:rsid w:val="00CF5E08"/>
    <w:rsid w:val="00CF70E8"/>
    <w:rsid w:val="00D003D5"/>
    <w:rsid w:val="00D026F5"/>
    <w:rsid w:val="00D1106A"/>
    <w:rsid w:val="00D1159C"/>
    <w:rsid w:val="00D11DF0"/>
    <w:rsid w:val="00D136C1"/>
    <w:rsid w:val="00D14143"/>
    <w:rsid w:val="00D144B1"/>
    <w:rsid w:val="00D15987"/>
    <w:rsid w:val="00D24F2D"/>
    <w:rsid w:val="00D30721"/>
    <w:rsid w:val="00D335E8"/>
    <w:rsid w:val="00D34987"/>
    <w:rsid w:val="00D34CC6"/>
    <w:rsid w:val="00D4203B"/>
    <w:rsid w:val="00D43089"/>
    <w:rsid w:val="00D45394"/>
    <w:rsid w:val="00D45FE5"/>
    <w:rsid w:val="00D47028"/>
    <w:rsid w:val="00D47DC6"/>
    <w:rsid w:val="00D505E1"/>
    <w:rsid w:val="00D507B7"/>
    <w:rsid w:val="00D51436"/>
    <w:rsid w:val="00D522DF"/>
    <w:rsid w:val="00D53CEC"/>
    <w:rsid w:val="00D543EE"/>
    <w:rsid w:val="00D563D7"/>
    <w:rsid w:val="00D56CF2"/>
    <w:rsid w:val="00D57821"/>
    <w:rsid w:val="00D6286D"/>
    <w:rsid w:val="00D63A2D"/>
    <w:rsid w:val="00D643BB"/>
    <w:rsid w:val="00D7267A"/>
    <w:rsid w:val="00D7394F"/>
    <w:rsid w:val="00D80113"/>
    <w:rsid w:val="00D96613"/>
    <w:rsid w:val="00DA5245"/>
    <w:rsid w:val="00DA7023"/>
    <w:rsid w:val="00DA744A"/>
    <w:rsid w:val="00DB19D8"/>
    <w:rsid w:val="00DB3601"/>
    <w:rsid w:val="00DB4D6A"/>
    <w:rsid w:val="00DB6F04"/>
    <w:rsid w:val="00DB7733"/>
    <w:rsid w:val="00DC0E47"/>
    <w:rsid w:val="00DC7FF0"/>
    <w:rsid w:val="00DD4D99"/>
    <w:rsid w:val="00DD6142"/>
    <w:rsid w:val="00DD6739"/>
    <w:rsid w:val="00DE0FAF"/>
    <w:rsid w:val="00DE10C7"/>
    <w:rsid w:val="00DE4058"/>
    <w:rsid w:val="00DE6AB6"/>
    <w:rsid w:val="00DF0297"/>
    <w:rsid w:val="00DF04D5"/>
    <w:rsid w:val="00DF4557"/>
    <w:rsid w:val="00DF7697"/>
    <w:rsid w:val="00E01A67"/>
    <w:rsid w:val="00E0485A"/>
    <w:rsid w:val="00E11B4C"/>
    <w:rsid w:val="00E15A9C"/>
    <w:rsid w:val="00E176D6"/>
    <w:rsid w:val="00E179C0"/>
    <w:rsid w:val="00E20E9F"/>
    <w:rsid w:val="00E2325C"/>
    <w:rsid w:val="00E24830"/>
    <w:rsid w:val="00E2764C"/>
    <w:rsid w:val="00E312C4"/>
    <w:rsid w:val="00E36832"/>
    <w:rsid w:val="00E3797A"/>
    <w:rsid w:val="00E40FF8"/>
    <w:rsid w:val="00E43C64"/>
    <w:rsid w:val="00E4551A"/>
    <w:rsid w:val="00E45D00"/>
    <w:rsid w:val="00E51C45"/>
    <w:rsid w:val="00E520E5"/>
    <w:rsid w:val="00E53E0D"/>
    <w:rsid w:val="00E55D14"/>
    <w:rsid w:val="00E6233B"/>
    <w:rsid w:val="00E6373E"/>
    <w:rsid w:val="00E660D6"/>
    <w:rsid w:val="00E662AA"/>
    <w:rsid w:val="00E66699"/>
    <w:rsid w:val="00E77942"/>
    <w:rsid w:val="00E841E6"/>
    <w:rsid w:val="00E86D69"/>
    <w:rsid w:val="00E90E2F"/>
    <w:rsid w:val="00E91302"/>
    <w:rsid w:val="00E9420F"/>
    <w:rsid w:val="00EA0EE3"/>
    <w:rsid w:val="00EA1557"/>
    <w:rsid w:val="00EA1F15"/>
    <w:rsid w:val="00EA350F"/>
    <w:rsid w:val="00EA3D0D"/>
    <w:rsid w:val="00EA7255"/>
    <w:rsid w:val="00EB1946"/>
    <w:rsid w:val="00EB617F"/>
    <w:rsid w:val="00EC2EF3"/>
    <w:rsid w:val="00EC606A"/>
    <w:rsid w:val="00EC7487"/>
    <w:rsid w:val="00ED123D"/>
    <w:rsid w:val="00ED492A"/>
    <w:rsid w:val="00ED718A"/>
    <w:rsid w:val="00EE12CE"/>
    <w:rsid w:val="00EE2AC9"/>
    <w:rsid w:val="00EE481D"/>
    <w:rsid w:val="00EE583C"/>
    <w:rsid w:val="00EF0111"/>
    <w:rsid w:val="00EF2E6A"/>
    <w:rsid w:val="00EF3072"/>
    <w:rsid w:val="00F00376"/>
    <w:rsid w:val="00F005A9"/>
    <w:rsid w:val="00F0084F"/>
    <w:rsid w:val="00F01858"/>
    <w:rsid w:val="00F02C5B"/>
    <w:rsid w:val="00F0329B"/>
    <w:rsid w:val="00F060C8"/>
    <w:rsid w:val="00F17AC2"/>
    <w:rsid w:val="00F204CD"/>
    <w:rsid w:val="00F22ECC"/>
    <w:rsid w:val="00F264C8"/>
    <w:rsid w:val="00F2792C"/>
    <w:rsid w:val="00F3072C"/>
    <w:rsid w:val="00F30DCE"/>
    <w:rsid w:val="00F3311E"/>
    <w:rsid w:val="00F335C9"/>
    <w:rsid w:val="00F34367"/>
    <w:rsid w:val="00F35D3B"/>
    <w:rsid w:val="00F35E77"/>
    <w:rsid w:val="00F40B85"/>
    <w:rsid w:val="00F40F2B"/>
    <w:rsid w:val="00F42FD9"/>
    <w:rsid w:val="00F46C66"/>
    <w:rsid w:val="00F52F09"/>
    <w:rsid w:val="00F53F03"/>
    <w:rsid w:val="00F54830"/>
    <w:rsid w:val="00F54F17"/>
    <w:rsid w:val="00F56E76"/>
    <w:rsid w:val="00F60CF6"/>
    <w:rsid w:val="00F61959"/>
    <w:rsid w:val="00F657FA"/>
    <w:rsid w:val="00F718FC"/>
    <w:rsid w:val="00F73A5E"/>
    <w:rsid w:val="00F742B1"/>
    <w:rsid w:val="00F751E9"/>
    <w:rsid w:val="00F8122B"/>
    <w:rsid w:val="00F821D6"/>
    <w:rsid w:val="00F826B6"/>
    <w:rsid w:val="00F8345F"/>
    <w:rsid w:val="00F90E89"/>
    <w:rsid w:val="00F91723"/>
    <w:rsid w:val="00F92095"/>
    <w:rsid w:val="00F922B0"/>
    <w:rsid w:val="00F92841"/>
    <w:rsid w:val="00F97D93"/>
    <w:rsid w:val="00FA20A1"/>
    <w:rsid w:val="00FA5E77"/>
    <w:rsid w:val="00FA6AD9"/>
    <w:rsid w:val="00FA7A26"/>
    <w:rsid w:val="00FB7D39"/>
    <w:rsid w:val="00FC1CDD"/>
    <w:rsid w:val="00FC5A34"/>
    <w:rsid w:val="00FC759A"/>
    <w:rsid w:val="00FD25D4"/>
    <w:rsid w:val="00FD4357"/>
    <w:rsid w:val="00FD540F"/>
    <w:rsid w:val="00FE1DFD"/>
    <w:rsid w:val="00FE2856"/>
    <w:rsid w:val="00FE5CFF"/>
    <w:rsid w:val="00FE607C"/>
    <w:rsid w:val="00FE6AEB"/>
    <w:rsid w:val="00FE7800"/>
    <w:rsid w:val="00FF6BB1"/>
    <w:rsid w:val="1F4D06ED"/>
    <w:rsid w:val="30BA2471"/>
    <w:rsid w:val="7C633C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0">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Document Map"/>
    <w:basedOn w:val="1"/>
    <w:semiHidden/>
    <w:qFormat/>
    <w:uiPriority w:val="0"/>
    <w:pPr>
      <w:shd w:val="clear" w:color="auto" w:fill="000080"/>
    </w:pPr>
  </w:style>
  <w:style w:type="paragraph" w:styleId="3">
    <w:name w:val="Body Text"/>
    <w:basedOn w:val="1"/>
    <w:link w:val="35"/>
    <w:qFormat/>
    <w:uiPriority w:val="0"/>
    <w:pPr>
      <w:jc w:val="center"/>
    </w:pPr>
    <w:rPr>
      <w:rFonts w:ascii="仿宋_GB2312" w:eastAsia="仿宋_GB2312"/>
    </w:rPr>
  </w:style>
  <w:style w:type="paragraph" w:styleId="4">
    <w:name w:val="Plain Text"/>
    <w:basedOn w:val="1"/>
    <w:link w:val="38"/>
    <w:uiPriority w:val="0"/>
    <w:rPr>
      <w:rFonts w:ascii="宋体" w:hAnsi="Courier New"/>
    </w:rPr>
  </w:style>
  <w:style w:type="paragraph" w:styleId="5">
    <w:name w:val="Balloon Text"/>
    <w:basedOn w:val="1"/>
    <w:semiHidden/>
    <w:qFormat/>
    <w:uiPriority w:val="0"/>
    <w:rPr>
      <w:sz w:val="18"/>
      <w:szCs w:val="18"/>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qFormat/>
    <w:uiPriority w:val="0"/>
  </w:style>
  <w:style w:type="character" w:styleId="12">
    <w:name w:val="HTML Sample"/>
    <w:basedOn w:val="10"/>
    <w:qFormat/>
    <w:uiPriority w:val="0"/>
    <w:rPr>
      <w:rFonts w:ascii="Courier New" w:hAnsi="Courier New"/>
    </w:rPr>
  </w:style>
  <w:style w:type="paragraph" w:customStyle="1" w:styleId="1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4">
    <w:name w:val="封面标准号2"/>
    <w:basedOn w:val="1"/>
    <w:qFormat/>
    <w:uiPriority w:val="0"/>
    <w:pPr>
      <w:framePr w:w="9138" w:h="1244" w:hRule="exact" w:wrap="auto" w:vAnchor="page" w:hAnchor="margin" w:y="2908" w:anchorLock="1"/>
      <w:kinsoku w:val="0"/>
      <w:overflowPunct w:val="0"/>
      <w:autoSpaceDE w:val="0"/>
      <w:autoSpaceDN w:val="0"/>
      <w:adjustRightInd w:val="0"/>
      <w:spacing w:before="357" w:line="280" w:lineRule="exact"/>
      <w:jc w:val="right"/>
      <w:textAlignment w:val="center"/>
    </w:pPr>
    <w:rPr>
      <w:kern w:val="0"/>
      <w:sz w:val="28"/>
    </w:rPr>
  </w:style>
  <w:style w:type="paragraph" w:customStyle="1" w:styleId="15">
    <w:name w:val="段"/>
    <w:link w:val="36"/>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6">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7">
    <w:name w:val="正文表标题"/>
    <w:next w:val="15"/>
    <w:qFormat/>
    <w:uiPriority w:val="0"/>
    <w:pPr>
      <w:numPr>
        <w:ilvl w:val="0"/>
        <w:numId w:val="1"/>
      </w:numPr>
      <w:jc w:val="center"/>
    </w:pPr>
    <w:rPr>
      <w:rFonts w:ascii="黑体" w:hAnsi="Times New Roman" w:eastAsia="黑体" w:cs="Times New Roman"/>
      <w:sz w:val="21"/>
      <w:lang w:val="en-US" w:eastAsia="zh-CN" w:bidi="ar-SA"/>
    </w:rPr>
  </w:style>
  <w:style w:type="paragraph" w:customStyle="1" w:styleId="18">
    <w:name w:val="前言、引言标题"/>
    <w:next w:val="1"/>
    <w:qFormat/>
    <w:uiPriority w:val="0"/>
    <w:pPr>
      <w:numPr>
        <w:ilvl w:val="0"/>
        <w:numId w:val="2"/>
      </w:num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9">
    <w:name w:val="章标题"/>
    <w:next w:val="1"/>
    <w:qFormat/>
    <w:uiPriority w:val="0"/>
    <w:pPr>
      <w:numPr>
        <w:ilvl w:val="1"/>
        <w:numId w:val="2"/>
      </w:numPr>
      <w:spacing w:beforeLines="50" w:afterLines="50"/>
      <w:jc w:val="both"/>
      <w:outlineLvl w:val="1"/>
    </w:pPr>
    <w:rPr>
      <w:rFonts w:ascii="黑体" w:hAnsi="Times New Roman" w:eastAsia="黑体" w:cs="Times New Roman"/>
      <w:sz w:val="21"/>
      <w:lang w:val="en-US" w:eastAsia="zh-CN" w:bidi="ar-SA"/>
    </w:rPr>
  </w:style>
  <w:style w:type="paragraph" w:customStyle="1" w:styleId="20">
    <w:name w:val="一级条标题"/>
    <w:next w:val="1"/>
    <w:qFormat/>
    <w:uiPriority w:val="0"/>
    <w:pPr>
      <w:numPr>
        <w:ilvl w:val="2"/>
        <w:numId w:val="2"/>
      </w:numPr>
      <w:outlineLvl w:val="2"/>
    </w:pPr>
    <w:rPr>
      <w:rFonts w:ascii="Times New Roman" w:hAnsi="Times New Roman" w:eastAsia="黑体" w:cs="Times New Roman"/>
      <w:sz w:val="21"/>
      <w:lang w:val="en-US" w:eastAsia="zh-CN" w:bidi="ar-SA"/>
    </w:rPr>
  </w:style>
  <w:style w:type="paragraph" w:customStyle="1" w:styleId="21">
    <w:name w:val="二级条标题"/>
    <w:basedOn w:val="20"/>
    <w:next w:val="1"/>
    <w:qFormat/>
    <w:uiPriority w:val="0"/>
    <w:pPr>
      <w:numPr>
        <w:ilvl w:val="3"/>
      </w:numPr>
      <w:outlineLvl w:val="3"/>
    </w:pPr>
  </w:style>
  <w:style w:type="paragraph" w:customStyle="1" w:styleId="22">
    <w:name w:val="三级条标题"/>
    <w:basedOn w:val="21"/>
    <w:next w:val="1"/>
    <w:qFormat/>
    <w:uiPriority w:val="0"/>
    <w:pPr>
      <w:numPr>
        <w:ilvl w:val="4"/>
      </w:numPr>
      <w:outlineLvl w:val="4"/>
    </w:pPr>
  </w:style>
  <w:style w:type="paragraph" w:customStyle="1" w:styleId="23">
    <w:name w:val="四级条标题"/>
    <w:basedOn w:val="22"/>
    <w:next w:val="1"/>
    <w:qFormat/>
    <w:uiPriority w:val="0"/>
    <w:pPr>
      <w:numPr>
        <w:ilvl w:val="5"/>
      </w:numPr>
      <w:outlineLvl w:val="5"/>
    </w:pPr>
  </w:style>
  <w:style w:type="paragraph" w:customStyle="1" w:styleId="24">
    <w:name w:val="五级条标题"/>
    <w:basedOn w:val="23"/>
    <w:next w:val="1"/>
    <w:qFormat/>
    <w:uiPriority w:val="0"/>
    <w:pPr>
      <w:numPr>
        <w:ilvl w:val="6"/>
      </w:numPr>
      <w:outlineLvl w:val="6"/>
    </w:pPr>
  </w:style>
  <w:style w:type="paragraph" w:customStyle="1" w:styleId="25">
    <w:name w:val="示例"/>
    <w:next w:val="15"/>
    <w:qFormat/>
    <w:uiPriority w:val="0"/>
    <w:pPr>
      <w:numPr>
        <w:ilvl w:val="0"/>
        <w:numId w:val="3"/>
      </w:numPr>
      <w:tabs>
        <w:tab w:val="left" w:pos="360"/>
        <w:tab w:val="clear" w:pos="1120"/>
      </w:tabs>
      <w:ind w:firstLine="0"/>
      <w:jc w:val="both"/>
    </w:pPr>
    <w:rPr>
      <w:rFonts w:ascii="宋体" w:hAnsi="Times New Roman" w:eastAsia="宋体" w:cs="Times New Roman"/>
      <w:sz w:val="18"/>
      <w:lang w:val="en-US" w:eastAsia="zh-CN" w:bidi="ar-SA"/>
    </w:rPr>
  </w:style>
  <w:style w:type="paragraph" w:customStyle="1" w:styleId="26">
    <w:name w:val="标准书脚_奇数页"/>
    <w:qFormat/>
    <w:uiPriority w:val="0"/>
    <w:pPr>
      <w:spacing w:before="120"/>
      <w:jc w:val="right"/>
    </w:pPr>
    <w:rPr>
      <w:rFonts w:ascii="Times New Roman" w:hAnsi="Times New Roman" w:eastAsia="宋体" w:cs="Times New Roman"/>
      <w:sz w:val="18"/>
      <w:lang w:val="en-US" w:eastAsia="zh-CN" w:bidi="ar-SA"/>
    </w:rPr>
  </w:style>
  <w:style w:type="paragraph" w:customStyle="1" w:styleId="27">
    <w:name w:val="附录标识"/>
    <w:basedOn w:val="18"/>
    <w:qFormat/>
    <w:uiPriority w:val="0"/>
    <w:pPr>
      <w:numPr>
        <w:ilvl w:val="0"/>
        <w:numId w:val="4"/>
      </w:numPr>
      <w:tabs>
        <w:tab w:val="left" w:pos="360"/>
        <w:tab w:val="left" w:pos="6405"/>
      </w:tabs>
      <w:spacing w:after="200"/>
    </w:pPr>
    <w:rPr>
      <w:sz w:val="21"/>
    </w:rPr>
  </w:style>
  <w:style w:type="paragraph" w:customStyle="1" w:styleId="28">
    <w:name w:val="附录章标题"/>
    <w:next w:val="15"/>
    <w:qFormat/>
    <w:uiPriority w:val="0"/>
    <w:pPr>
      <w:numPr>
        <w:ilvl w:val="1"/>
        <w:numId w:val="4"/>
      </w:numPr>
      <w:tabs>
        <w:tab w:val="left" w:pos="360"/>
      </w:tabs>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29">
    <w:name w:val="附录一级条标题"/>
    <w:basedOn w:val="28"/>
    <w:next w:val="15"/>
    <w:qFormat/>
    <w:uiPriority w:val="0"/>
    <w:pPr>
      <w:numPr>
        <w:ilvl w:val="2"/>
      </w:numPr>
      <w:autoSpaceDN w:val="0"/>
      <w:spacing w:beforeLines="0" w:afterLines="0"/>
      <w:outlineLvl w:val="2"/>
    </w:pPr>
  </w:style>
  <w:style w:type="paragraph" w:customStyle="1" w:styleId="30">
    <w:name w:val="附录二级条标题"/>
    <w:basedOn w:val="29"/>
    <w:next w:val="15"/>
    <w:qFormat/>
    <w:uiPriority w:val="0"/>
    <w:pPr>
      <w:numPr>
        <w:ilvl w:val="3"/>
      </w:numPr>
      <w:outlineLvl w:val="3"/>
    </w:pPr>
  </w:style>
  <w:style w:type="paragraph" w:customStyle="1" w:styleId="31">
    <w:name w:val="附录三级条标题"/>
    <w:basedOn w:val="30"/>
    <w:next w:val="15"/>
    <w:qFormat/>
    <w:uiPriority w:val="0"/>
    <w:pPr>
      <w:numPr>
        <w:ilvl w:val="4"/>
      </w:numPr>
      <w:outlineLvl w:val="4"/>
    </w:pPr>
  </w:style>
  <w:style w:type="paragraph" w:customStyle="1" w:styleId="32">
    <w:name w:val="附录四级条标题"/>
    <w:basedOn w:val="31"/>
    <w:next w:val="15"/>
    <w:qFormat/>
    <w:uiPriority w:val="0"/>
    <w:pPr>
      <w:numPr>
        <w:ilvl w:val="5"/>
      </w:numPr>
      <w:outlineLvl w:val="5"/>
    </w:pPr>
  </w:style>
  <w:style w:type="paragraph" w:customStyle="1" w:styleId="33">
    <w:name w:val="附录五级条标题"/>
    <w:basedOn w:val="32"/>
    <w:next w:val="15"/>
    <w:qFormat/>
    <w:uiPriority w:val="0"/>
    <w:pPr>
      <w:numPr>
        <w:ilvl w:val="6"/>
      </w:numPr>
      <w:outlineLvl w:val="6"/>
    </w:pPr>
  </w:style>
  <w:style w:type="paragraph" w:customStyle="1" w:styleId="34">
    <w:name w:val="正文图标题"/>
    <w:next w:val="15"/>
    <w:qFormat/>
    <w:uiPriority w:val="0"/>
    <w:pPr>
      <w:numPr>
        <w:ilvl w:val="0"/>
        <w:numId w:val="5"/>
      </w:numPr>
      <w:tabs>
        <w:tab w:val="left" w:pos="360"/>
      </w:tabs>
      <w:jc w:val="center"/>
    </w:pPr>
    <w:rPr>
      <w:rFonts w:ascii="黑体" w:hAnsi="Times New Roman" w:eastAsia="黑体" w:cs="Times New Roman"/>
      <w:sz w:val="21"/>
      <w:lang w:val="en-US" w:eastAsia="zh-CN" w:bidi="ar-SA"/>
    </w:rPr>
  </w:style>
  <w:style w:type="character" w:customStyle="1" w:styleId="35">
    <w:name w:val="正文文本 Char"/>
    <w:basedOn w:val="10"/>
    <w:link w:val="3"/>
    <w:qFormat/>
    <w:uiPriority w:val="0"/>
    <w:rPr>
      <w:rFonts w:ascii="仿宋_GB2312" w:eastAsia="仿宋_GB2312"/>
      <w:kern w:val="2"/>
      <w:sz w:val="21"/>
    </w:rPr>
  </w:style>
  <w:style w:type="character" w:customStyle="1" w:styleId="36">
    <w:name w:val="段 Char"/>
    <w:link w:val="15"/>
    <w:qFormat/>
    <w:uiPriority w:val="0"/>
    <w:rPr>
      <w:rFonts w:ascii="宋体"/>
      <w:sz w:val="21"/>
      <w:lang w:bidi="ar-SA"/>
    </w:rPr>
  </w:style>
  <w:style w:type="paragraph" w:customStyle="1" w:styleId="37">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character" w:customStyle="1" w:styleId="38">
    <w:name w:val="纯文本 Char"/>
    <w:basedOn w:val="10"/>
    <w:link w:val="4"/>
    <w:qFormat/>
    <w:uiPriority w:val="0"/>
    <w:rPr>
      <w:rFonts w:ascii="宋体" w:hAnsi="Courier New"/>
      <w:kern w:val="2"/>
      <w:sz w:val="21"/>
    </w:rPr>
  </w:style>
  <w:style w:type="paragraph" w:customStyle="1" w:styleId="39">
    <w:name w:val="注："/>
    <w:next w:val="15"/>
    <w:qFormat/>
    <w:uiPriority w:val="0"/>
    <w:pPr>
      <w:widowControl w:val="0"/>
      <w:numPr>
        <w:ilvl w:val="0"/>
        <w:numId w:val="6"/>
      </w:numPr>
      <w:autoSpaceDE w:val="0"/>
      <w:autoSpaceDN w:val="0"/>
      <w:ind w:left="1073" w:hanging="363"/>
      <w:jc w:val="both"/>
    </w:pPr>
    <w:rPr>
      <w:rFonts w:ascii="宋体" w:hAnsi="Times New Roman" w:eastAsia="宋体" w:cs="Times New Roman"/>
      <w:sz w:val="18"/>
      <w:szCs w:val="18"/>
      <w:lang w:val="en-US" w:eastAsia="zh-CN" w:bidi="ar-SA"/>
    </w:rPr>
  </w:style>
  <w:style w:type="paragraph" w:customStyle="1" w:styleId="40">
    <w:name w:val="注×："/>
    <w:uiPriority w:val="0"/>
    <w:pPr>
      <w:widowControl w:val="0"/>
      <w:numPr>
        <w:ilvl w:val="0"/>
        <w:numId w:val="7"/>
      </w:numPr>
      <w:autoSpaceDE w:val="0"/>
      <w:autoSpaceDN w:val="0"/>
      <w:jc w:val="both"/>
    </w:pPr>
    <w:rPr>
      <w:rFonts w:ascii="宋体" w:hAnsi="Times New Roman" w:eastAsia="宋体" w:cs="Times New Roman"/>
      <w:sz w:val="18"/>
      <w:szCs w:val="18"/>
      <w:lang w:val="en-US" w:eastAsia="zh-CN" w:bidi="ar-SA"/>
    </w:rPr>
  </w:style>
  <w:style w:type="paragraph" w:styleId="41">
    <w:name w:val="List Paragraph"/>
    <w:basedOn w:val="1"/>
    <w:unhideWhenUsed/>
    <w:qFormat/>
    <w:uiPriority w:val="99"/>
    <w:pPr>
      <w:ind w:firstLine="420" w:firstLineChars="200"/>
    </w:pPr>
    <w:rPr>
      <w:rFonts w:ascii="Calibri" w:hAnsi="Calibri"/>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3804</Words>
  <Characters>4378</Characters>
  <Lines>38</Lines>
  <Paragraphs>10</Paragraphs>
  <TotalTime>6</TotalTime>
  <ScaleCrop>false</ScaleCrop>
  <LinksUpToDate>false</LinksUpToDate>
  <CharactersWithSpaces>4794</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2022-09-17T03:48:00Z</dcterms:created>
  <dc:creator>hwl</dc:creator>
  <cp:lastModifiedBy>maodou</cp:lastModifiedBy>
  <cp:lastPrinted>2014-09-18T02:26:00Z</cp:lastPrinted>
  <dcterms:modified xsi:type="dcterms:W3CDTF">2022-09-17T04:47:10Z</dcterms:modified>
  <dc:title>№2007TJ2001</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9A7BFB3998F44E9BB55B344DDB644DD8</vt:lpwstr>
  </property>
</Properties>
</file>