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9B4457D">
      <w:pPr>
        <w:adjustRightInd w:val="0"/>
        <w:snapToGrid w:val="0"/>
        <w:spacing w:line="540" w:lineRule="exact"/>
        <w:jc w:val="left"/>
        <w:rPr>
          <w:rFonts w:eastAsia="方正仿宋_GBK"/>
          <w:color w:val="000000"/>
          <w:kern w:val="0"/>
          <w:sz w:val="32"/>
          <w:szCs w:val="32"/>
        </w:rPr>
      </w:pPr>
      <w:r>
        <w:rPr>
          <w:rFonts w:hint="eastAsia" w:eastAsia="方正仿宋_GBK"/>
          <w:color w:val="000000"/>
          <w:kern w:val="0"/>
          <w:sz w:val="32"/>
          <w:szCs w:val="32"/>
        </w:rPr>
        <w:t>附件1</w:t>
      </w:r>
    </w:p>
    <w:p w14:paraId="70CB62C0">
      <w:pPr>
        <w:keepNext w:val="0"/>
        <w:keepLines w:val="0"/>
        <w:pageBreakBefore w:val="0"/>
        <w:kinsoku/>
        <w:wordWrap/>
        <w:overflowPunct/>
        <w:topLinePunct w:val="0"/>
        <w:autoSpaceDE/>
        <w:autoSpaceDN/>
        <w:bidi w:val="0"/>
        <w:adjustRightInd w:val="0"/>
        <w:snapToGrid w:val="0"/>
        <w:spacing w:after="0" w:line="540" w:lineRule="exact"/>
        <w:jc w:val="center"/>
        <w:textAlignment w:val="auto"/>
        <w:rPr>
          <w:rFonts w:hint="eastAsia" w:eastAsia="方正小标宋_GBK"/>
          <w:kern w:val="0"/>
          <w:sz w:val="44"/>
          <w:szCs w:val="44"/>
          <w:lang w:eastAsia="zh-CN"/>
        </w:rPr>
      </w:pPr>
      <w:r>
        <w:rPr>
          <w:rFonts w:eastAsia="方正小标宋_GBK"/>
          <w:kern w:val="0"/>
          <w:sz w:val="44"/>
          <w:szCs w:val="44"/>
        </w:rPr>
        <w:t>江苏省委农办省农业农村厅乡村振兴</w:t>
      </w:r>
    </w:p>
    <w:p w14:paraId="7C1D126A">
      <w:pPr>
        <w:keepNext w:val="0"/>
        <w:keepLines w:val="0"/>
        <w:pageBreakBefore w:val="0"/>
        <w:kinsoku/>
        <w:wordWrap/>
        <w:overflowPunct/>
        <w:topLinePunct w:val="0"/>
        <w:autoSpaceDE/>
        <w:autoSpaceDN/>
        <w:bidi w:val="0"/>
        <w:adjustRightInd w:val="0"/>
        <w:snapToGrid w:val="0"/>
        <w:spacing w:after="0" w:line="540" w:lineRule="exact"/>
        <w:jc w:val="center"/>
        <w:textAlignment w:val="auto"/>
        <w:rPr>
          <w:rFonts w:eastAsia="方正小标宋_GBK"/>
          <w:kern w:val="0"/>
          <w:sz w:val="44"/>
          <w:szCs w:val="44"/>
        </w:rPr>
      </w:pPr>
      <w:r>
        <w:rPr>
          <w:rFonts w:eastAsia="方正小标宋_GBK"/>
          <w:kern w:val="0"/>
          <w:sz w:val="44"/>
          <w:szCs w:val="44"/>
        </w:rPr>
        <w:t>软科学公开委托课题研究目录</w:t>
      </w:r>
    </w:p>
    <w:p w14:paraId="2BB80FBF">
      <w:pPr>
        <w:keepNext w:val="0"/>
        <w:keepLines w:val="0"/>
        <w:pageBreakBefore w:val="0"/>
        <w:kinsoku/>
        <w:wordWrap/>
        <w:overflowPunct/>
        <w:topLinePunct w:val="0"/>
        <w:autoSpaceDE/>
        <w:autoSpaceDN/>
        <w:bidi w:val="0"/>
        <w:adjustRightInd w:val="0"/>
        <w:snapToGrid w:val="0"/>
        <w:spacing w:after="0" w:line="540" w:lineRule="exact"/>
        <w:jc w:val="center"/>
        <w:textAlignment w:val="auto"/>
        <w:rPr>
          <w:rFonts w:eastAsia="方正楷体_GBK"/>
          <w:b/>
          <w:bCs/>
          <w:kern w:val="0"/>
          <w:sz w:val="40"/>
          <w:szCs w:val="32"/>
        </w:rPr>
      </w:pPr>
      <w:r>
        <w:rPr>
          <w:rFonts w:hint="eastAsia" w:eastAsia="方正楷体_GBK"/>
          <w:b/>
          <w:bCs/>
          <w:kern w:val="0"/>
          <w:sz w:val="40"/>
          <w:szCs w:val="32"/>
        </w:rPr>
        <w:t>（2</w:t>
      </w:r>
      <w:r>
        <w:rPr>
          <w:rFonts w:eastAsia="方正楷体_GBK"/>
          <w:b/>
          <w:bCs/>
          <w:kern w:val="0"/>
          <w:sz w:val="40"/>
          <w:szCs w:val="32"/>
        </w:rPr>
        <w:t>02</w:t>
      </w:r>
      <w:r>
        <w:rPr>
          <w:rFonts w:hint="eastAsia" w:eastAsia="方正楷体_GBK"/>
          <w:b/>
          <w:bCs/>
          <w:kern w:val="0"/>
          <w:sz w:val="40"/>
          <w:szCs w:val="32"/>
          <w:lang w:val="en-US" w:eastAsia="zh-CN"/>
        </w:rPr>
        <w:t>6年度</w:t>
      </w:r>
      <w:r>
        <w:rPr>
          <w:rFonts w:hint="eastAsia" w:eastAsia="方正楷体_GBK"/>
          <w:b/>
          <w:bCs/>
          <w:kern w:val="0"/>
          <w:sz w:val="40"/>
          <w:szCs w:val="32"/>
        </w:rPr>
        <w:t>）</w:t>
      </w:r>
    </w:p>
    <w:p w14:paraId="5096A997">
      <w:pPr>
        <w:keepNext w:val="0"/>
        <w:keepLines w:val="0"/>
        <w:pageBreakBefore w:val="0"/>
        <w:widowControl/>
        <w:kinsoku/>
        <w:wordWrap/>
        <w:overflowPunct/>
        <w:topLinePunct w:val="0"/>
        <w:autoSpaceDE/>
        <w:autoSpaceDN/>
        <w:bidi w:val="0"/>
        <w:spacing w:after="0" w:line="540" w:lineRule="exact"/>
        <w:jc w:val="center"/>
        <w:textAlignment w:val="auto"/>
        <w:rPr>
          <w:rFonts w:hint="eastAsia" w:ascii="方正小标宋_GBK" w:eastAsia="方正小标宋_GBK"/>
          <w:color w:val="000000"/>
          <w:kern w:val="0"/>
          <w:sz w:val="32"/>
          <w:szCs w:val="32"/>
        </w:rPr>
      </w:pPr>
    </w:p>
    <w:p w14:paraId="6E3FEB26">
      <w:pPr>
        <w:keepNext w:val="0"/>
        <w:keepLines w:val="0"/>
        <w:pageBreakBefore w:val="0"/>
        <w:widowControl/>
        <w:kinsoku/>
        <w:wordWrap/>
        <w:overflowPunct/>
        <w:topLinePunct w:val="0"/>
        <w:autoSpaceDE/>
        <w:autoSpaceDN/>
        <w:bidi w:val="0"/>
        <w:spacing w:after="0" w:line="540" w:lineRule="exact"/>
        <w:jc w:val="center"/>
        <w:textAlignment w:val="auto"/>
        <w:rPr>
          <w:rFonts w:ascii="方正小标宋_GBK" w:eastAsia="方正小标宋_GBK"/>
          <w:color w:val="000000"/>
          <w:kern w:val="0"/>
          <w:sz w:val="32"/>
          <w:szCs w:val="32"/>
        </w:rPr>
      </w:pPr>
      <w:r>
        <w:rPr>
          <w:rFonts w:hint="eastAsia" w:ascii="方正小标宋_GBK" w:eastAsia="方正小标宋_GBK"/>
          <w:color w:val="000000"/>
          <w:kern w:val="0"/>
          <w:sz w:val="32"/>
          <w:szCs w:val="32"/>
        </w:rPr>
        <w:t>（一）课题申请说明</w:t>
      </w:r>
    </w:p>
    <w:p w14:paraId="45E03DB4">
      <w:pPr>
        <w:adjustRightInd w:val="0"/>
        <w:snapToGrid w:val="0"/>
        <w:spacing w:after="0" w:line="540" w:lineRule="exact"/>
        <w:ind w:firstLine="640" w:firstLineChars="200"/>
        <w:jc w:val="left"/>
        <w:rPr>
          <w:rFonts w:hint="eastAsia" w:eastAsia="方正仿宋_GBK"/>
          <w:bCs/>
          <w:kern w:val="0"/>
          <w:sz w:val="32"/>
          <w:szCs w:val="32"/>
        </w:rPr>
      </w:pPr>
      <w:r>
        <w:rPr>
          <w:rFonts w:hint="eastAsia" w:eastAsia="方正仿宋_GBK"/>
          <w:bCs/>
          <w:kern w:val="0"/>
          <w:sz w:val="32"/>
          <w:szCs w:val="32"/>
        </w:rPr>
        <w:t>一、坚持以习近平新时代中国特色社会主义思想为指导，深入贯彻党的二十大和二十届历次全会精神，全面贯彻习近平总书记关于</w:t>
      </w:r>
      <w:r>
        <w:rPr>
          <w:rFonts w:hint="eastAsia" w:eastAsia="方正仿宋_GBK"/>
          <w:bCs/>
          <w:kern w:val="0"/>
          <w:sz w:val="32"/>
          <w:szCs w:val="32"/>
          <w:lang w:eastAsia="zh-CN"/>
        </w:rPr>
        <w:t>“</w:t>
      </w:r>
      <w:r>
        <w:rPr>
          <w:rFonts w:hint="eastAsia" w:eastAsia="方正仿宋_GBK"/>
          <w:bCs/>
          <w:kern w:val="0"/>
          <w:sz w:val="32"/>
          <w:szCs w:val="32"/>
        </w:rPr>
        <w:t>三农</w:t>
      </w:r>
      <w:r>
        <w:rPr>
          <w:rFonts w:hint="eastAsia" w:eastAsia="方正仿宋_GBK"/>
          <w:bCs/>
          <w:kern w:val="0"/>
          <w:sz w:val="32"/>
          <w:szCs w:val="32"/>
          <w:lang w:eastAsia="zh-CN"/>
        </w:rPr>
        <w:t>”</w:t>
      </w:r>
      <w:r>
        <w:rPr>
          <w:rFonts w:hint="eastAsia" w:eastAsia="方正仿宋_GBK"/>
          <w:bCs/>
          <w:kern w:val="0"/>
          <w:sz w:val="32"/>
          <w:szCs w:val="32"/>
        </w:rPr>
        <w:t>工作的重要论述和对江苏工作重要讲话精神，</w:t>
      </w:r>
      <w:r>
        <w:rPr>
          <w:rFonts w:hint="eastAsia" w:eastAsia="方正仿宋_GBK"/>
          <w:bCs/>
          <w:kern w:val="0"/>
          <w:sz w:val="32"/>
          <w:szCs w:val="32"/>
          <w:lang w:val="en-US" w:eastAsia="zh-CN"/>
        </w:rPr>
        <w:t>为</w:t>
      </w:r>
      <w:r>
        <w:rPr>
          <w:rFonts w:hint="eastAsia" w:eastAsia="方正仿宋_GBK"/>
          <w:bCs/>
          <w:kern w:val="0"/>
          <w:sz w:val="32"/>
          <w:szCs w:val="32"/>
        </w:rPr>
        <w:t>推进农业现代化走在前</w:t>
      </w:r>
      <w:r>
        <w:rPr>
          <w:rFonts w:hint="eastAsia" w:eastAsia="方正仿宋_GBK"/>
          <w:bCs/>
          <w:kern w:val="0"/>
          <w:sz w:val="32"/>
          <w:szCs w:val="32"/>
          <w:lang w:eastAsia="zh-CN"/>
        </w:rPr>
        <w:t>，</w:t>
      </w:r>
      <w:r>
        <w:rPr>
          <w:rFonts w:hint="eastAsia" w:eastAsia="方正仿宋_GBK"/>
          <w:bCs/>
          <w:kern w:val="0"/>
          <w:sz w:val="32"/>
          <w:szCs w:val="32"/>
        </w:rPr>
        <w:t>高水平建设农业强省提供有力的理论支撑和智力支持。</w:t>
      </w:r>
    </w:p>
    <w:p w14:paraId="04392FED">
      <w:pPr>
        <w:adjustRightInd w:val="0"/>
        <w:snapToGrid w:val="0"/>
        <w:spacing w:after="0" w:line="540" w:lineRule="exact"/>
        <w:ind w:firstLine="640" w:firstLineChars="200"/>
        <w:jc w:val="left"/>
        <w:rPr>
          <w:rFonts w:hint="eastAsia" w:eastAsia="方正仿宋_GBK"/>
          <w:bCs/>
          <w:kern w:val="0"/>
          <w:sz w:val="32"/>
          <w:szCs w:val="32"/>
        </w:rPr>
      </w:pPr>
      <w:r>
        <w:rPr>
          <w:rFonts w:hint="eastAsia" w:eastAsia="方正仿宋_GBK"/>
          <w:bCs/>
          <w:kern w:val="0"/>
          <w:sz w:val="32"/>
          <w:szCs w:val="32"/>
        </w:rPr>
        <w:t>二、课题均为规定命题，请按照《课题研究目录》给定的题目进行申报。对不符合研究目录的申请，不予受理。</w:t>
      </w:r>
    </w:p>
    <w:p w14:paraId="107FFA8B">
      <w:pPr>
        <w:adjustRightInd w:val="0"/>
        <w:snapToGrid w:val="0"/>
        <w:spacing w:after="0" w:line="540" w:lineRule="exact"/>
        <w:ind w:firstLine="640" w:firstLineChars="200"/>
        <w:jc w:val="left"/>
        <w:rPr>
          <w:rFonts w:hint="eastAsia" w:eastAsia="方正仿宋_GBK"/>
          <w:bCs/>
          <w:kern w:val="0"/>
          <w:sz w:val="32"/>
          <w:szCs w:val="32"/>
        </w:rPr>
      </w:pPr>
      <w:r>
        <w:rPr>
          <w:rFonts w:hint="eastAsia" w:eastAsia="方正仿宋_GBK"/>
          <w:bCs/>
          <w:kern w:val="0"/>
          <w:sz w:val="32"/>
          <w:szCs w:val="32"/>
        </w:rPr>
        <w:t>三、江苏省委农</w:t>
      </w:r>
      <w:r>
        <w:rPr>
          <w:rFonts w:hint="eastAsia" w:eastAsia="方正仿宋_GBK"/>
          <w:bCs/>
          <w:kern w:val="0"/>
          <w:sz w:val="32"/>
          <w:szCs w:val="32"/>
          <w:lang w:val="en-US" w:eastAsia="zh-CN"/>
        </w:rPr>
        <w:t>办</w:t>
      </w:r>
      <w:r>
        <w:rPr>
          <w:rFonts w:hint="eastAsia" w:eastAsia="方正仿宋_GBK"/>
          <w:bCs/>
          <w:kern w:val="0"/>
          <w:sz w:val="32"/>
          <w:szCs w:val="32"/>
        </w:rPr>
        <w:t>省农业农村厅乡村振兴专家咨询委员会办公室组织专家对</w:t>
      </w:r>
      <w:r>
        <w:rPr>
          <w:rFonts w:hint="eastAsia" w:eastAsia="方正仿宋_GBK"/>
          <w:bCs/>
          <w:kern w:val="0"/>
          <w:sz w:val="32"/>
          <w:szCs w:val="32"/>
          <w:lang w:val="en-US" w:eastAsia="zh-CN"/>
        </w:rPr>
        <w:t>申请</w:t>
      </w:r>
      <w:r>
        <w:rPr>
          <w:rFonts w:hint="eastAsia" w:eastAsia="方正仿宋_GBK"/>
          <w:bCs/>
          <w:kern w:val="0"/>
          <w:sz w:val="32"/>
          <w:szCs w:val="32"/>
        </w:rPr>
        <w:t>课题</w:t>
      </w:r>
      <w:r>
        <w:rPr>
          <w:rFonts w:hint="eastAsia" w:eastAsia="方正仿宋_GBK"/>
          <w:bCs/>
          <w:kern w:val="0"/>
          <w:sz w:val="32"/>
          <w:szCs w:val="32"/>
          <w:lang w:val="en-US" w:eastAsia="zh-CN"/>
        </w:rPr>
        <w:t>进行评审答辩，择优</w:t>
      </w:r>
      <w:r>
        <w:rPr>
          <w:rFonts w:hint="eastAsia" w:eastAsia="方正仿宋_GBK"/>
          <w:bCs/>
          <w:kern w:val="0"/>
          <w:sz w:val="32"/>
          <w:szCs w:val="32"/>
        </w:rPr>
        <w:t>确定承担课题研究任务的单位和负责人，并统一在江苏省农业农村厅官方网站上公布。</w:t>
      </w:r>
    </w:p>
    <w:p w14:paraId="625B40B2">
      <w:pPr>
        <w:adjustRightInd w:val="0"/>
        <w:snapToGrid w:val="0"/>
        <w:spacing w:after="0" w:line="540" w:lineRule="exact"/>
        <w:ind w:firstLine="640" w:firstLineChars="200"/>
        <w:jc w:val="left"/>
        <w:rPr>
          <w:rFonts w:hint="eastAsia" w:eastAsia="方正仿宋_GBK"/>
          <w:bCs/>
          <w:kern w:val="0"/>
          <w:sz w:val="32"/>
          <w:szCs w:val="32"/>
        </w:rPr>
      </w:pPr>
      <w:r>
        <w:rPr>
          <w:rFonts w:hint="eastAsia" w:eastAsia="方正仿宋_GBK"/>
          <w:bCs/>
          <w:kern w:val="0"/>
          <w:sz w:val="32"/>
          <w:szCs w:val="32"/>
        </w:rPr>
        <w:t>四、课题申报单位应是大专院校、科研院所、行业协会（学会、研究会）及企业等，需符合以下条件：在登记管理部门登记或经国务院批准免予登记的社会组织，按事业单位分类改革划入公益二类的事业单位，依法在工商管理或行业主管部门登记成立的机构等社会力量；在相关领域具有较雄厚的学术资源和研究实力，能够提供开展研究的必要条件；对相关材料真实性进行审核；承担课题项目管理和经费管理职责并承诺信誉保证。</w:t>
      </w:r>
    </w:p>
    <w:p w14:paraId="2CC889BB">
      <w:pPr>
        <w:adjustRightInd w:val="0"/>
        <w:snapToGrid w:val="0"/>
        <w:spacing w:after="0" w:line="540" w:lineRule="exact"/>
        <w:ind w:firstLine="640" w:firstLineChars="200"/>
        <w:jc w:val="left"/>
        <w:rPr>
          <w:rFonts w:hint="eastAsia" w:eastAsia="方正仿宋_GBK"/>
          <w:bCs/>
          <w:kern w:val="0"/>
          <w:sz w:val="32"/>
          <w:szCs w:val="32"/>
        </w:rPr>
      </w:pPr>
      <w:r>
        <w:rPr>
          <w:rFonts w:hint="eastAsia" w:eastAsia="方正仿宋_GBK"/>
          <w:bCs/>
          <w:kern w:val="0"/>
          <w:sz w:val="32"/>
          <w:szCs w:val="32"/>
        </w:rPr>
        <w:t>五、每个申请人只能申报1个题目。凡以在研或已结题的各级各类项目、博士学位论文或博士后出站报告等为基础申请软科学研究课题，须在课题申请书中注明所申请课题与已承担项目的联系和区别，不得以内容基本相同的同一成果申请结题。申报课题须如实填写申请材料，课题成果应保证质量，</w:t>
      </w:r>
      <w:r>
        <w:rPr>
          <w:rFonts w:hint="eastAsia" w:eastAsia="方正仿宋_GBK"/>
          <w:bCs/>
          <w:kern w:val="0"/>
          <w:sz w:val="32"/>
          <w:szCs w:val="32"/>
          <w:lang w:val="en-US" w:eastAsia="zh-CN"/>
        </w:rPr>
        <w:t>并确保</w:t>
      </w:r>
      <w:r>
        <w:rPr>
          <w:rFonts w:hint="eastAsia" w:eastAsia="方正仿宋_GBK"/>
          <w:bCs/>
          <w:kern w:val="0"/>
          <w:sz w:val="32"/>
          <w:szCs w:val="32"/>
        </w:rPr>
        <w:t>没有知识产权争议。凡存在弄虚作假、抄袭剽窃、拼凑应付等不端行为的，一经查实，取消今后五年内申请</w:t>
      </w:r>
      <w:r>
        <w:rPr>
          <w:rFonts w:hint="eastAsia" w:eastAsia="方正仿宋_GBK"/>
          <w:bCs/>
          <w:kern w:val="0"/>
          <w:sz w:val="32"/>
          <w:szCs w:val="32"/>
          <w:lang w:val="en-US" w:eastAsia="zh-CN"/>
        </w:rPr>
        <w:t>我厅</w:t>
      </w:r>
      <w:r>
        <w:rPr>
          <w:rFonts w:hint="eastAsia" w:eastAsia="方正仿宋_GBK"/>
          <w:bCs/>
          <w:kern w:val="0"/>
          <w:sz w:val="32"/>
          <w:szCs w:val="32"/>
        </w:rPr>
        <w:t xml:space="preserve">软科学课题的资格。 </w:t>
      </w:r>
    </w:p>
    <w:p w14:paraId="74A1D4F4">
      <w:pPr>
        <w:adjustRightInd w:val="0"/>
        <w:snapToGrid w:val="0"/>
        <w:spacing w:after="0" w:line="540" w:lineRule="exact"/>
        <w:ind w:firstLine="640" w:firstLineChars="200"/>
        <w:jc w:val="left"/>
        <w:rPr>
          <w:rFonts w:eastAsia="方正仿宋_GBK"/>
          <w:bCs/>
          <w:sz w:val="32"/>
          <w:szCs w:val="32"/>
        </w:rPr>
      </w:pPr>
      <w:r>
        <w:rPr>
          <w:rFonts w:hint="eastAsia" w:eastAsia="方正仿宋_GBK"/>
          <w:bCs/>
          <w:sz w:val="32"/>
          <w:szCs w:val="32"/>
          <w:lang w:val="en-US" w:eastAsia="zh-CN"/>
        </w:rPr>
        <w:t>六</w:t>
      </w:r>
      <w:r>
        <w:rPr>
          <w:rFonts w:eastAsia="方正仿宋_GBK"/>
          <w:bCs/>
          <w:sz w:val="32"/>
          <w:szCs w:val="32"/>
        </w:rPr>
        <w:t>、</w:t>
      </w:r>
      <w:r>
        <w:rPr>
          <w:rFonts w:hint="eastAsia" w:eastAsia="方正仿宋_GBK"/>
          <w:bCs/>
          <w:sz w:val="32"/>
          <w:szCs w:val="32"/>
        </w:rPr>
        <w:t>所有课题原则上均为年度课题，根据研究任务视情安排相应研究经费</w:t>
      </w:r>
      <w:r>
        <w:rPr>
          <w:rFonts w:hint="eastAsia" w:eastAsia="方正仿宋_GBK"/>
          <w:bCs/>
          <w:sz w:val="32"/>
          <w:szCs w:val="32"/>
          <w:lang w:eastAsia="zh-CN"/>
        </w:rPr>
        <w:t>（</w:t>
      </w:r>
      <w:r>
        <w:rPr>
          <w:rFonts w:hint="eastAsia" w:eastAsia="方正仿宋_GBK"/>
          <w:bCs/>
          <w:sz w:val="32"/>
          <w:szCs w:val="32"/>
          <w:lang w:val="en-US" w:eastAsia="zh-CN"/>
        </w:rPr>
        <w:t>详见《课题研究目录》</w:t>
      </w:r>
      <w:r>
        <w:rPr>
          <w:rFonts w:hint="eastAsia" w:eastAsia="方正仿宋_GBK"/>
          <w:bCs/>
          <w:sz w:val="32"/>
          <w:szCs w:val="32"/>
          <w:lang w:eastAsia="zh-CN"/>
        </w:rPr>
        <w:t>）</w:t>
      </w:r>
      <w:r>
        <w:rPr>
          <w:rFonts w:eastAsia="方正仿宋_GBK"/>
          <w:bCs/>
          <w:sz w:val="32"/>
          <w:szCs w:val="32"/>
        </w:rPr>
        <w:t>。课题经费按照有关规定支付、管理和使用。</w:t>
      </w:r>
    </w:p>
    <w:p w14:paraId="085C0E91">
      <w:pPr>
        <w:adjustRightInd w:val="0"/>
        <w:snapToGrid w:val="0"/>
        <w:spacing w:after="0" w:line="540" w:lineRule="exact"/>
        <w:ind w:firstLine="640" w:firstLineChars="200"/>
        <w:jc w:val="left"/>
        <w:rPr>
          <w:rFonts w:eastAsia="方正仿宋_GBK"/>
          <w:bCs/>
          <w:kern w:val="0"/>
          <w:sz w:val="32"/>
          <w:szCs w:val="32"/>
        </w:rPr>
      </w:pPr>
      <w:r>
        <w:rPr>
          <w:rFonts w:hint="eastAsia" w:eastAsia="方正仿宋_GBK"/>
          <w:bCs/>
          <w:kern w:val="0"/>
          <w:sz w:val="32"/>
          <w:szCs w:val="32"/>
          <w:lang w:val="en-US" w:eastAsia="zh-CN"/>
        </w:rPr>
        <w:t>七</w:t>
      </w:r>
      <w:r>
        <w:rPr>
          <w:rFonts w:eastAsia="方正仿宋_GBK"/>
          <w:bCs/>
          <w:kern w:val="0"/>
          <w:sz w:val="32"/>
          <w:szCs w:val="32"/>
        </w:rPr>
        <w:t>、课题应在202</w:t>
      </w:r>
      <w:r>
        <w:rPr>
          <w:rFonts w:hint="eastAsia" w:eastAsia="方正仿宋_GBK"/>
          <w:bCs/>
          <w:kern w:val="0"/>
          <w:sz w:val="32"/>
          <w:szCs w:val="32"/>
          <w:lang w:val="en-US" w:eastAsia="zh-CN"/>
        </w:rPr>
        <w:t>6</w:t>
      </w:r>
      <w:r>
        <w:rPr>
          <w:rFonts w:eastAsia="方正仿宋_GBK"/>
          <w:bCs/>
          <w:kern w:val="0"/>
          <w:sz w:val="32"/>
          <w:szCs w:val="32"/>
        </w:rPr>
        <w:t>年</w:t>
      </w:r>
      <w:r>
        <w:rPr>
          <w:rFonts w:hint="eastAsia" w:eastAsia="方正仿宋_GBK"/>
          <w:bCs/>
          <w:kern w:val="0"/>
          <w:sz w:val="32"/>
          <w:szCs w:val="32"/>
          <w:lang w:val="en-US" w:eastAsia="zh-CN"/>
        </w:rPr>
        <w:t>10</w:t>
      </w:r>
      <w:r>
        <w:rPr>
          <w:rFonts w:eastAsia="方正仿宋_GBK"/>
          <w:bCs/>
          <w:kern w:val="0"/>
          <w:sz w:val="32"/>
          <w:szCs w:val="32"/>
        </w:rPr>
        <w:t>月</w:t>
      </w:r>
      <w:r>
        <w:rPr>
          <w:rFonts w:hint="eastAsia" w:eastAsia="方正仿宋_GBK"/>
          <w:bCs/>
          <w:kern w:val="0"/>
          <w:sz w:val="32"/>
          <w:szCs w:val="32"/>
          <w:lang w:val="en-US" w:eastAsia="zh-CN"/>
        </w:rPr>
        <w:t>30</w:t>
      </w:r>
      <w:r>
        <w:rPr>
          <w:rFonts w:eastAsia="方正仿宋_GBK"/>
          <w:bCs/>
          <w:kern w:val="0"/>
          <w:sz w:val="32"/>
          <w:szCs w:val="32"/>
        </w:rPr>
        <w:t>日前提交最终研究成果，在规定时间内结题。最终研究成果包括不少于</w:t>
      </w:r>
      <w:r>
        <w:rPr>
          <w:rFonts w:hint="eastAsia" w:eastAsia="方正仿宋_GBK"/>
          <w:bCs/>
          <w:kern w:val="0"/>
          <w:sz w:val="32"/>
          <w:szCs w:val="32"/>
          <w:lang w:val="en-US" w:eastAsia="zh-CN"/>
        </w:rPr>
        <w:t>1</w:t>
      </w:r>
      <w:r>
        <w:rPr>
          <w:rFonts w:eastAsia="方正仿宋_GBK"/>
          <w:bCs/>
          <w:kern w:val="0"/>
          <w:sz w:val="32"/>
          <w:szCs w:val="32"/>
        </w:rPr>
        <w:t>.5万字的课题报告和</w:t>
      </w:r>
      <w:r>
        <w:rPr>
          <w:rFonts w:hint="eastAsia" w:eastAsia="方正仿宋_GBK"/>
          <w:bCs/>
          <w:kern w:val="0"/>
          <w:sz w:val="32"/>
          <w:szCs w:val="32"/>
          <w:lang w:val="en-US" w:eastAsia="zh-CN"/>
        </w:rPr>
        <w:t>5</w:t>
      </w:r>
      <w:r>
        <w:rPr>
          <w:rFonts w:eastAsia="方正仿宋_GBK"/>
          <w:bCs/>
          <w:kern w:val="0"/>
          <w:sz w:val="32"/>
          <w:szCs w:val="32"/>
        </w:rPr>
        <w:t>000字左右的决策参考报告。</w:t>
      </w:r>
      <w:r>
        <w:rPr>
          <w:rFonts w:hint="eastAsia" w:eastAsia="方正仿宋_GBK"/>
          <w:bCs/>
          <w:kern w:val="0"/>
          <w:sz w:val="32"/>
          <w:szCs w:val="32"/>
        </w:rPr>
        <w:t>同时，提供</w:t>
      </w:r>
      <w:r>
        <w:rPr>
          <w:rFonts w:eastAsia="方正仿宋_GBK"/>
          <w:bCs/>
          <w:kern w:val="0"/>
          <w:sz w:val="32"/>
          <w:szCs w:val="32"/>
        </w:rPr>
        <w:t>查重报告</w:t>
      </w:r>
      <w:r>
        <w:rPr>
          <w:rFonts w:hint="eastAsia" w:eastAsia="方正仿宋_GBK"/>
          <w:bCs/>
          <w:kern w:val="0"/>
          <w:sz w:val="32"/>
          <w:szCs w:val="32"/>
        </w:rPr>
        <w:t>，原则上</w:t>
      </w:r>
      <w:r>
        <w:rPr>
          <w:rFonts w:eastAsia="方正仿宋_GBK"/>
          <w:bCs/>
          <w:kern w:val="0"/>
          <w:sz w:val="32"/>
          <w:szCs w:val="32"/>
        </w:rPr>
        <w:t>去除引用文献后的查重率不超过20</w:t>
      </w:r>
      <w:r>
        <w:rPr>
          <w:rFonts w:hint="eastAsia" w:eastAsia="方正仿宋_GBK"/>
          <w:bCs/>
          <w:kern w:val="0"/>
          <w:sz w:val="32"/>
          <w:szCs w:val="32"/>
        </w:rPr>
        <w:t>%</w:t>
      </w:r>
      <w:r>
        <w:rPr>
          <w:rFonts w:eastAsia="方正仿宋_GBK"/>
          <w:bCs/>
          <w:kern w:val="0"/>
          <w:sz w:val="32"/>
          <w:szCs w:val="32"/>
        </w:rPr>
        <w:t>。研究成果著作权归江苏省委农办省农业农村厅乡村振兴专家咨询委员会所有，包括但不限于作品的发表权、署名权、修改权、复制权、发行权、信息网络传播权、汇编权和其他权利。专咨委办公室将组织开展成果结题验收</w:t>
      </w:r>
      <w:r>
        <w:rPr>
          <w:rFonts w:hint="eastAsia" w:eastAsia="方正仿宋_GBK"/>
          <w:bCs/>
          <w:kern w:val="0"/>
          <w:sz w:val="32"/>
          <w:szCs w:val="32"/>
          <w:lang w:eastAsia="zh-CN"/>
        </w:rPr>
        <w:t>。</w:t>
      </w:r>
    </w:p>
    <w:p w14:paraId="1997EFD5">
      <w:pPr>
        <w:keepNext w:val="0"/>
        <w:keepLines w:val="0"/>
        <w:pageBreakBefore w:val="0"/>
        <w:widowControl/>
        <w:kinsoku/>
        <w:wordWrap/>
        <w:overflowPunct/>
        <w:topLinePunct w:val="0"/>
        <w:autoSpaceDE/>
        <w:autoSpaceDN/>
        <w:bidi w:val="0"/>
        <w:adjustRightInd/>
        <w:snapToGrid/>
        <w:spacing w:before="240" w:after="120" w:line="560" w:lineRule="exact"/>
        <w:ind w:left="640" w:hanging="640" w:hangingChars="200"/>
        <w:jc w:val="center"/>
        <w:textAlignment w:val="auto"/>
        <w:rPr>
          <w:rFonts w:hint="default" w:ascii="Times New Roman" w:hAnsi="Times New Roman" w:eastAsia="方正小标宋_GBK" w:cs="Times New Roman"/>
          <w:color w:val="000000"/>
          <w:kern w:val="0"/>
          <w:sz w:val="32"/>
          <w:szCs w:val="32"/>
        </w:rPr>
      </w:pPr>
      <w:r>
        <w:rPr>
          <w:rFonts w:hint="default" w:ascii="Times New Roman" w:hAnsi="Times New Roman" w:eastAsia="方正小标宋_GBK" w:cs="Times New Roman"/>
          <w:color w:val="000000"/>
          <w:kern w:val="0"/>
          <w:sz w:val="32"/>
          <w:szCs w:val="32"/>
        </w:rPr>
        <w:t>（二）课题研究目录</w:t>
      </w:r>
    </w:p>
    <w:p w14:paraId="14E42B2B">
      <w:pPr>
        <w:widowControl/>
        <w:spacing w:before="240" w:after="120" w:line="540" w:lineRule="exact"/>
        <w:jc w:val="left"/>
        <w:rPr>
          <w:rFonts w:hint="eastAsia" w:ascii="方正楷体_GBK" w:hAnsi="方正楷体_GBK" w:eastAsia="方正楷体_GBK" w:cs="方正楷体_GBK"/>
          <w:w w:val="100"/>
          <w:kern w:val="0"/>
          <w:sz w:val="32"/>
          <w:szCs w:val="32"/>
          <w:lang w:val="en-US" w:eastAsia="zh-CN"/>
        </w:rPr>
      </w:pPr>
      <w:r>
        <w:rPr>
          <w:rFonts w:hint="eastAsia" w:ascii="方正楷体_GBK" w:hAnsi="方正楷体_GBK" w:eastAsia="方正楷体_GBK" w:cs="方正楷体_GBK"/>
          <w:w w:val="100"/>
          <w:kern w:val="0"/>
          <w:sz w:val="32"/>
          <w:szCs w:val="32"/>
          <w:lang w:val="en-US" w:eastAsia="zh-CN"/>
        </w:rPr>
        <w:t>1、气候变化对江苏水稻生产影响及对策研究（8万）</w:t>
      </w:r>
    </w:p>
    <w:p w14:paraId="2501255B">
      <w:pPr>
        <w:widowControl/>
        <w:spacing w:before="240" w:after="120" w:line="540" w:lineRule="exact"/>
        <w:jc w:val="left"/>
        <w:rPr>
          <w:rFonts w:hint="eastAsia" w:ascii="方正仿宋_GBK" w:hAnsi="方正仿宋_GBK" w:eastAsia="方正仿宋_GBK" w:cs="方正仿宋_GBK"/>
          <w:w w:val="100"/>
          <w:kern w:val="0"/>
          <w:sz w:val="32"/>
          <w:szCs w:val="32"/>
          <w:lang w:val="en-US" w:eastAsia="zh-CN"/>
        </w:rPr>
      </w:pPr>
      <w:r>
        <w:rPr>
          <w:rFonts w:hint="eastAsia" w:ascii="方正黑体_GBK" w:hAnsi="方正黑体_GBK" w:eastAsia="方正黑体_GBK" w:cs="方正黑体_GBK"/>
          <w:w w:val="100"/>
          <w:kern w:val="0"/>
          <w:sz w:val="32"/>
          <w:szCs w:val="32"/>
          <w:lang w:val="en-US" w:eastAsia="zh-CN"/>
        </w:rPr>
        <w:t>研究要点：</w:t>
      </w:r>
      <w:r>
        <w:rPr>
          <w:rFonts w:hint="eastAsia" w:ascii="方正仿宋_GBK" w:hAnsi="方正仿宋_GBK" w:eastAsia="方正仿宋_GBK" w:cs="方正仿宋_GBK"/>
          <w:w w:val="100"/>
          <w:kern w:val="0"/>
          <w:sz w:val="32"/>
          <w:szCs w:val="32"/>
          <w:lang w:val="en-US" w:eastAsia="zh-CN"/>
        </w:rPr>
        <w:t>近年来，气候变化引发的极端天气事件呈频发、重发态势，对粮食生产产生不利影响。本研究需要通过梳理建国以来我省气象观测数据，分析气温阶段性升高、降水时空分布差异、极端天气事件发生规律，探究近三十年来气候变化</w:t>
      </w:r>
      <w:bookmarkStart w:id="0" w:name="_GoBack"/>
      <w:bookmarkEnd w:id="0"/>
      <w:r>
        <w:rPr>
          <w:rFonts w:hint="eastAsia" w:ascii="方正仿宋_GBK" w:hAnsi="方正仿宋_GBK" w:eastAsia="方正仿宋_GBK" w:cs="方正仿宋_GBK"/>
          <w:w w:val="100"/>
          <w:kern w:val="0"/>
          <w:sz w:val="32"/>
          <w:szCs w:val="32"/>
          <w:lang w:val="en-US" w:eastAsia="zh-CN"/>
        </w:rPr>
        <w:t>对我省水稻产量年际波动、品种布局变化、病虫害发生、农民应对气候波动的策略的影响等，提出应对建议，为科学制定相关政策提供借鉴。</w:t>
      </w:r>
    </w:p>
    <w:p w14:paraId="0F4E15CD">
      <w:pPr>
        <w:widowControl/>
        <w:spacing w:before="240" w:after="120" w:line="540" w:lineRule="exact"/>
        <w:jc w:val="left"/>
        <w:rPr>
          <w:rFonts w:hint="default" w:ascii="方正楷体_GBK" w:hAnsi="方正楷体_GBK" w:eastAsia="方正楷体_GBK" w:cs="方正楷体_GBK"/>
          <w:w w:val="100"/>
          <w:kern w:val="0"/>
          <w:sz w:val="32"/>
          <w:szCs w:val="32"/>
          <w:lang w:val="en-US" w:eastAsia="zh-CN"/>
        </w:rPr>
      </w:pPr>
      <w:r>
        <w:rPr>
          <w:rFonts w:hint="default" w:ascii="方正楷体_GBK" w:hAnsi="方正楷体_GBK" w:eastAsia="方正楷体_GBK" w:cs="方正楷体_GBK"/>
          <w:w w:val="100"/>
          <w:kern w:val="0"/>
          <w:sz w:val="32"/>
          <w:szCs w:val="32"/>
          <w:lang w:val="en-US" w:eastAsia="zh-CN"/>
        </w:rPr>
        <w:t>2、江苏生猪养殖布局结构优化与绿色转型发展研究（7万）</w:t>
      </w:r>
    </w:p>
    <w:p w14:paraId="3F4BEAC8">
      <w:pPr>
        <w:widowControl/>
        <w:spacing w:before="240" w:after="120" w:line="540" w:lineRule="exact"/>
        <w:jc w:val="left"/>
        <w:rPr>
          <w:rFonts w:hint="default" w:ascii="方正仿宋_GBK" w:hAnsi="方正仿宋_GBK" w:eastAsia="方正仿宋_GBK" w:cs="方正仿宋_GBK"/>
          <w:w w:val="100"/>
          <w:kern w:val="0"/>
          <w:sz w:val="32"/>
          <w:szCs w:val="32"/>
          <w:lang w:val="en-US" w:eastAsia="zh-CN"/>
        </w:rPr>
      </w:pPr>
      <w:r>
        <w:rPr>
          <w:rFonts w:hint="eastAsia" w:ascii="方正黑体_GBK" w:hAnsi="方正黑体_GBK" w:eastAsia="方正黑体_GBK" w:cs="方正黑体_GBK"/>
          <w:w w:val="100"/>
          <w:kern w:val="0"/>
          <w:sz w:val="32"/>
          <w:szCs w:val="32"/>
          <w:lang w:val="en-US" w:eastAsia="zh-CN"/>
        </w:rPr>
        <w:t>研究要点</w:t>
      </w:r>
      <w:r>
        <w:rPr>
          <w:rFonts w:hint="default" w:ascii="方正黑体_GBK" w:hAnsi="方正黑体_GBK" w:eastAsia="方正黑体_GBK" w:cs="方正黑体_GBK"/>
          <w:w w:val="100"/>
          <w:kern w:val="0"/>
          <w:sz w:val="32"/>
          <w:szCs w:val="32"/>
          <w:lang w:val="en-US" w:eastAsia="zh-CN"/>
        </w:rPr>
        <w:t>：</w:t>
      </w:r>
      <w:r>
        <w:rPr>
          <w:rFonts w:hint="default" w:ascii="方正仿宋_GBK" w:hAnsi="方正仿宋_GBK" w:eastAsia="方正仿宋_GBK" w:cs="方正仿宋_GBK"/>
          <w:w w:val="100"/>
          <w:kern w:val="0"/>
          <w:sz w:val="32"/>
          <w:szCs w:val="32"/>
          <w:lang w:val="en-US" w:eastAsia="zh-CN"/>
        </w:rPr>
        <w:t>本课题需要在充分调研的基础上，了解</w:t>
      </w:r>
      <w:r>
        <w:rPr>
          <w:rFonts w:hint="eastAsia" w:ascii="方正仿宋_GBK" w:hAnsi="方正仿宋_GBK" w:eastAsia="方正仿宋_GBK" w:cs="方正仿宋_GBK"/>
          <w:w w:val="100"/>
          <w:kern w:val="0"/>
          <w:sz w:val="32"/>
          <w:szCs w:val="32"/>
          <w:lang w:val="en-US" w:eastAsia="zh-CN"/>
        </w:rPr>
        <w:t>我省</w:t>
      </w:r>
      <w:r>
        <w:rPr>
          <w:rFonts w:hint="default" w:ascii="方正仿宋_GBK" w:hAnsi="方正仿宋_GBK" w:eastAsia="方正仿宋_GBK" w:cs="方正仿宋_GBK"/>
          <w:w w:val="100"/>
          <w:kern w:val="0"/>
          <w:sz w:val="32"/>
          <w:szCs w:val="32"/>
          <w:lang w:val="en-US" w:eastAsia="zh-CN"/>
        </w:rPr>
        <w:t>重点养殖区域的产能分布、养殖结构、粪污消纳用地匹配度、种养循环模式推广现状及养殖户需求，总结生产绿色转型的案例模式，分析区域结构布局和生态健康养殖中存在问题，提出</w:t>
      </w:r>
      <w:r>
        <w:rPr>
          <w:rFonts w:hint="eastAsia" w:ascii="方正仿宋_GBK" w:hAnsi="方正仿宋_GBK" w:eastAsia="方正仿宋_GBK" w:cs="方正仿宋_GBK"/>
          <w:w w:val="100"/>
          <w:kern w:val="0"/>
          <w:sz w:val="32"/>
          <w:szCs w:val="32"/>
          <w:lang w:val="en-US" w:eastAsia="zh-CN"/>
        </w:rPr>
        <w:t>我省</w:t>
      </w:r>
      <w:r>
        <w:rPr>
          <w:rFonts w:hint="default" w:ascii="方正仿宋_GBK" w:hAnsi="方正仿宋_GBK" w:eastAsia="方正仿宋_GBK" w:cs="方正仿宋_GBK"/>
          <w:w w:val="100"/>
          <w:kern w:val="0"/>
          <w:sz w:val="32"/>
          <w:szCs w:val="32"/>
          <w:lang w:val="en-US" w:eastAsia="zh-CN"/>
        </w:rPr>
        <w:t>生猪养殖布局结构优化对策和绿色转型发展建议。</w:t>
      </w:r>
    </w:p>
    <w:p w14:paraId="3CDEC086">
      <w:pPr>
        <w:widowControl/>
        <w:spacing w:before="240" w:after="120" w:line="540" w:lineRule="exact"/>
        <w:jc w:val="left"/>
        <w:rPr>
          <w:rFonts w:hint="default" w:ascii="方正楷体_GBK" w:hAnsi="方正楷体_GBK" w:eastAsia="方正楷体_GBK" w:cs="方正楷体_GBK"/>
          <w:w w:val="100"/>
          <w:kern w:val="0"/>
          <w:sz w:val="32"/>
          <w:szCs w:val="32"/>
          <w:lang w:val="en-US" w:eastAsia="zh-CN"/>
        </w:rPr>
      </w:pPr>
      <w:r>
        <w:rPr>
          <w:rFonts w:hint="default" w:ascii="方正楷体_GBK" w:hAnsi="方正楷体_GBK" w:eastAsia="方正楷体_GBK" w:cs="方正楷体_GBK"/>
          <w:w w:val="100"/>
          <w:kern w:val="0"/>
          <w:sz w:val="32"/>
          <w:szCs w:val="32"/>
          <w:lang w:val="en-US" w:eastAsia="zh-CN"/>
        </w:rPr>
        <w:t>3、江苏淡水水产养殖业绿色健康发展的对策研究（7万）</w:t>
      </w:r>
    </w:p>
    <w:p w14:paraId="5CAA328B">
      <w:pPr>
        <w:widowControl/>
        <w:spacing w:before="240" w:after="120" w:line="540" w:lineRule="exact"/>
        <w:jc w:val="left"/>
        <w:rPr>
          <w:rFonts w:hint="default" w:ascii="方正仿宋_GBK" w:hAnsi="方正仿宋_GBK" w:eastAsia="方正仿宋_GBK" w:cs="方正仿宋_GBK"/>
          <w:w w:val="100"/>
          <w:kern w:val="0"/>
          <w:sz w:val="32"/>
          <w:szCs w:val="32"/>
          <w:lang w:val="en-US" w:eastAsia="zh-CN"/>
        </w:rPr>
      </w:pPr>
      <w:r>
        <w:rPr>
          <w:rFonts w:hint="eastAsia" w:ascii="方正黑体_GBK" w:hAnsi="方正黑体_GBK" w:eastAsia="方正黑体_GBK" w:cs="方正黑体_GBK"/>
          <w:w w:val="100"/>
          <w:kern w:val="0"/>
          <w:sz w:val="32"/>
          <w:szCs w:val="32"/>
          <w:lang w:val="en-US" w:eastAsia="zh-CN"/>
        </w:rPr>
        <w:t>研究要点</w:t>
      </w:r>
      <w:r>
        <w:rPr>
          <w:rFonts w:hint="default" w:ascii="方正黑体_GBK" w:hAnsi="方正黑体_GBK" w:eastAsia="方正黑体_GBK" w:cs="方正黑体_GBK"/>
          <w:w w:val="100"/>
          <w:kern w:val="0"/>
          <w:sz w:val="32"/>
          <w:szCs w:val="32"/>
          <w:lang w:val="en-US" w:eastAsia="zh-CN"/>
        </w:rPr>
        <w:t>：</w:t>
      </w:r>
      <w:r>
        <w:rPr>
          <w:rFonts w:hint="default" w:ascii="方正仿宋_GBK" w:hAnsi="方正仿宋_GBK" w:eastAsia="方正仿宋_GBK" w:cs="方正仿宋_GBK"/>
          <w:w w:val="100"/>
          <w:kern w:val="0"/>
          <w:sz w:val="32"/>
          <w:szCs w:val="32"/>
          <w:lang w:val="en-US" w:eastAsia="zh-CN"/>
        </w:rPr>
        <w:t>本课题需要围绕我省淡水水产养殖的主要品种，通过调研了解其养殖方式、养殖密度、投入品使用、市场需求等基本情况，分析养殖中存在的突出问题，提出淡水水产养殖业绿色健康发展的政策建议。</w:t>
      </w:r>
    </w:p>
    <w:p w14:paraId="3493D7D9">
      <w:pPr>
        <w:widowControl/>
        <w:spacing w:before="240" w:after="120" w:line="540" w:lineRule="exact"/>
        <w:jc w:val="left"/>
        <w:rPr>
          <w:rFonts w:hint="eastAsia" w:ascii="方正楷体_GBK" w:hAnsi="方正楷体_GBK" w:eastAsia="方正楷体_GBK" w:cs="方正楷体_GBK"/>
          <w:w w:val="100"/>
          <w:kern w:val="0"/>
          <w:sz w:val="32"/>
          <w:szCs w:val="32"/>
          <w:lang w:val="en-US" w:eastAsia="zh-CN"/>
        </w:rPr>
      </w:pPr>
      <w:r>
        <w:rPr>
          <w:rFonts w:hint="eastAsia" w:ascii="方正楷体_GBK" w:hAnsi="方正楷体_GBK" w:eastAsia="方正楷体_GBK" w:cs="方正楷体_GBK"/>
          <w:w w:val="100"/>
          <w:kern w:val="0"/>
          <w:sz w:val="32"/>
          <w:szCs w:val="32"/>
          <w:lang w:val="en-US" w:eastAsia="zh-CN"/>
        </w:rPr>
        <w:t>4、以城乡融合推进乡村全面振兴的江苏路径研究（8万）</w:t>
      </w:r>
    </w:p>
    <w:p w14:paraId="18DBD9A5">
      <w:pPr>
        <w:widowControl/>
        <w:spacing w:before="240" w:after="120" w:line="540" w:lineRule="exact"/>
        <w:jc w:val="left"/>
        <w:rPr>
          <w:rFonts w:hint="default" w:ascii="方正仿宋_GBK" w:hAnsi="方正仿宋_GBK" w:eastAsia="方正仿宋_GBK" w:cs="方正仿宋_GBK"/>
          <w:w w:val="100"/>
          <w:kern w:val="0"/>
          <w:sz w:val="32"/>
          <w:szCs w:val="32"/>
          <w:lang w:val="en-US" w:eastAsia="zh-CN"/>
        </w:rPr>
      </w:pPr>
      <w:r>
        <w:rPr>
          <w:rFonts w:hint="eastAsia" w:ascii="方正黑体_GBK" w:hAnsi="方正黑体_GBK" w:eastAsia="方正黑体_GBK" w:cs="方正黑体_GBK"/>
          <w:w w:val="100"/>
          <w:kern w:val="0"/>
          <w:sz w:val="32"/>
          <w:szCs w:val="32"/>
          <w:lang w:val="en-US" w:eastAsia="zh-CN"/>
        </w:rPr>
        <w:t>研究要点：</w:t>
      </w:r>
      <w:r>
        <w:rPr>
          <w:rFonts w:hint="default" w:ascii="方正仿宋_GBK" w:hAnsi="方正仿宋_GBK" w:eastAsia="方正仿宋_GBK" w:cs="方正仿宋_GBK"/>
          <w:w w:val="100"/>
          <w:kern w:val="0"/>
          <w:sz w:val="32"/>
          <w:szCs w:val="32"/>
          <w:lang w:val="en-US" w:eastAsia="zh-CN"/>
        </w:rPr>
        <w:t>本研究需要在厘清城乡融合与乡村振兴的核心关系基础上，系统梳理江苏城乡融合政策演进，借鉴浙江、广东等省份的经验做法，总结省内不同区域城乡融合发展的实践模式，最终提出契合江苏实际、以城乡融合发展推进乡村全面振兴的对策建议。</w:t>
      </w:r>
    </w:p>
    <w:p w14:paraId="1E27215B">
      <w:pPr>
        <w:widowControl/>
        <w:numPr>
          <w:ilvl w:val="0"/>
          <w:numId w:val="1"/>
        </w:numPr>
        <w:spacing w:before="240" w:after="120" w:line="540" w:lineRule="exact"/>
        <w:jc w:val="left"/>
        <w:rPr>
          <w:rFonts w:hint="eastAsia" w:ascii="方正楷体_GBK" w:hAnsi="方正楷体_GBK" w:eastAsia="方正楷体_GBK" w:cs="方正楷体_GBK"/>
          <w:w w:val="100"/>
          <w:kern w:val="0"/>
          <w:sz w:val="32"/>
          <w:szCs w:val="32"/>
          <w:lang w:val="en-US" w:eastAsia="zh-CN"/>
        </w:rPr>
      </w:pPr>
      <w:r>
        <w:rPr>
          <w:rFonts w:hint="eastAsia" w:ascii="方正楷体_GBK" w:hAnsi="方正楷体_GBK" w:eastAsia="方正楷体_GBK" w:cs="方正楷体_GBK"/>
          <w:w w:val="100"/>
          <w:kern w:val="0"/>
          <w:sz w:val="32"/>
          <w:szCs w:val="32"/>
          <w:lang w:val="en-US" w:eastAsia="zh-CN"/>
        </w:rPr>
        <w:t>农村基本具备现代生活条件的内涵与江苏路径研究（8万）</w:t>
      </w:r>
    </w:p>
    <w:p w14:paraId="70515FBC">
      <w:pPr>
        <w:widowControl/>
        <w:spacing w:before="240" w:after="120" w:line="540" w:lineRule="exact"/>
        <w:jc w:val="left"/>
        <w:rPr>
          <w:rFonts w:hint="eastAsia" w:ascii="方正楷体_GBK" w:hAnsi="方正楷体_GBK" w:eastAsia="方正楷体_GBK" w:cs="方正楷体_GBK"/>
          <w:w w:val="100"/>
          <w:kern w:val="0"/>
          <w:sz w:val="32"/>
          <w:szCs w:val="32"/>
          <w:lang w:val="en-US" w:eastAsia="zh-CN"/>
        </w:rPr>
      </w:pPr>
      <w:r>
        <w:rPr>
          <w:rFonts w:hint="eastAsia" w:ascii="方正黑体_GBK" w:hAnsi="方正黑体_GBK" w:eastAsia="方正黑体_GBK" w:cs="方正黑体_GBK"/>
          <w:w w:val="100"/>
          <w:kern w:val="0"/>
          <w:sz w:val="32"/>
          <w:szCs w:val="32"/>
          <w:lang w:val="en-US" w:eastAsia="zh-CN"/>
        </w:rPr>
        <w:t>研究要点：</w:t>
      </w:r>
      <w:r>
        <w:rPr>
          <w:rFonts w:hint="default" w:ascii="方正仿宋_GBK" w:hAnsi="方正仿宋_GBK" w:eastAsia="方正仿宋_GBK" w:cs="方正仿宋_GBK"/>
          <w:w w:val="100"/>
          <w:kern w:val="0"/>
          <w:sz w:val="32"/>
          <w:szCs w:val="32"/>
          <w:lang w:val="en-US" w:eastAsia="zh-CN"/>
        </w:rPr>
        <w:t>本研究在界定农村基本具备现代生活条件核心内涵基础上，立足江苏苏南、苏中、苏北分区域，系统梳理现状、突出问题与短板弱项，总结阶段特征与实践经验，</w:t>
      </w:r>
      <w:r>
        <w:rPr>
          <w:rFonts w:hint="eastAsia" w:ascii="方正仿宋_GBK" w:hAnsi="方正仿宋_GBK" w:eastAsia="方正仿宋_GBK" w:cs="方正仿宋_GBK"/>
          <w:w w:val="100"/>
          <w:kern w:val="0"/>
          <w:sz w:val="32"/>
          <w:szCs w:val="32"/>
          <w:lang w:val="en-US" w:eastAsia="zh-CN"/>
        </w:rPr>
        <w:t>围绕农村基本具备现代生活条件的基础维度</w:t>
      </w:r>
      <w:r>
        <w:rPr>
          <w:rFonts w:hint="default" w:ascii="方正仿宋_GBK" w:hAnsi="方正仿宋_GBK" w:eastAsia="方正仿宋_GBK" w:cs="方正仿宋_GBK"/>
          <w:w w:val="100"/>
          <w:kern w:val="0"/>
          <w:sz w:val="32"/>
          <w:szCs w:val="32"/>
          <w:lang w:val="en-US" w:eastAsia="zh-CN"/>
        </w:rPr>
        <w:t>提出针对性政策建议，探索符合省情、可复制可推广的江苏实现路径。</w:t>
      </w:r>
    </w:p>
    <w:sectPr>
      <w:pgSz w:w="12240" w:h="15840"/>
      <w:pgMar w:top="2098" w:right="1588" w:bottom="2098" w:left="1588" w:header="708" w:footer="708" w:gutter="0"/>
      <w:cols w:space="708"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F"/>
    <w:family w:val="roman"/>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panose1 w:val="03000509000000000000"/>
    <w:charset w:val="86"/>
    <w:family w:val="auto"/>
    <w:pitch w:val="default"/>
    <w:sig w:usb0="00000001" w:usb1="080E0000" w:usb2="00000000" w:usb3="00000000" w:csb0="00040000" w:csb1="00000000"/>
  </w:font>
  <w:font w:name="等线">
    <w:panose1 w:val="02010600030101010101"/>
    <w:charset w:val="86"/>
    <w:family w:val="auto"/>
    <w:pitch w:val="default"/>
    <w:sig w:usb0="A00002BF" w:usb1="38CF7CFA" w:usb2="00000016" w:usb3="00000000" w:csb0="0004000F" w:csb1="00000000"/>
  </w:font>
  <w:font w:name="Microsoft YaHei UI">
    <w:panose1 w:val="020B0503020204020204"/>
    <w:charset w:val="86"/>
    <w:family w:val="swiss"/>
    <w:pitch w:val="default"/>
    <w:sig w:usb0="80000287" w:usb1="2ACF3C50" w:usb2="00000016" w:usb3="00000000" w:csb0="0004001F" w:csb1="00000000"/>
  </w:font>
  <w:font w:name="方正小标宋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方正黑体_GBK">
    <w:panose1 w:val="03000509000000000000"/>
    <w:charset w:val="86"/>
    <w:family w:val="auto"/>
    <w:pitch w:val="default"/>
    <w:sig w:usb0="00000001" w:usb1="080E0000" w:usb2="00000000" w:usb3="00000000" w:csb0="0004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59" w:lineRule="auto"/>
      </w:pPr>
      <w:r>
        <w:separator/>
      </w:r>
    </w:p>
  </w:footnote>
  <w:footnote w:type="continuationSeparator" w:id="1">
    <w:p>
      <w:pPr>
        <w:spacing w:before="0" w:after="0" w:line="259"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7C173C8"/>
    <w:multiLevelType w:val="singleLevel"/>
    <w:tmpl w:val="57C173C8"/>
    <w:lvl w:ilvl="0" w:tentative="0">
      <w:start w:val="5"/>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720"/>
  <w:characterSpacingControl w:val="doNotCompress"/>
  <w:footnotePr>
    <w:footnote w:id="0"/>
    <w:footnote w:id="1"/>
  </w:footnotePr>
  <w:endnotePr>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zEwNTM5NzYwMDRjMzkwZTVkZjY2ODkwMGIxNGU0OTUifQ=="/>
  </w:docVars>
  <w:rsids>
    <w:rsidRoot w:val="00123CF4"/>
    <w:rsid w:val="000700BA"/>
    <w:rsid w:val="000933E4"/>
    <w:rsid w:val="0012226B"/>
    <w:rsid w:val="00123CF4"/>
    <w:rsid w:val="00132BBE"/>
    <w:rsid w:val="001357D3"/>
    <w:rsid w:val="0013772D"/>
    <w:rsid w:val="001428A6"/>
    <w:rsid w:val="00184C86"/>
    <w:rsid w:val="00230C4A"/>
    <w:rsid w:val="0023281A"/>
    <w:rsid w:val="002B5671"/>
    <w:rsid w:val="002C4507"/>
    <w:rsid w:val="003A09AA"/>
    <w:rsid w:val="003E13F7"/>
    <w:rsid w:val="004B4D88"/>
    <w:rsid w:val="004F0BF5"/>
    <w:rsid w:val="0051730F"/>
    <w:rsid w:val="00533918"/>
    <w:rsid w:val="00552D64"/>
    <w:rsid w:val="00571705"/>
    <w:rsid w:val="00625EDA"/>
    <w:rsid w:val="00651D1D"/>
    <w:rsid w:val="007739CA"/>
    <w:rsid w:val="00777323"/>
    <w:rsid w:val="00790410"/>
    <w:rsid w:val="008944DC"/>
    <w:rsid w:val="00912CFC"/>
    <w:rsid w:val="009374C1"/>
    <w:rsid w:val="009A5710"/>
    <w:rsid w:val="009D1955"/>
    <w:rsid w:val="009E7D24"/>
    <w:rsid w:val="00A70E07"/>
    <w:rsid w:val="00A75F67"/>
    <w:rsid w:val="00A80E92"/>
    <w:rsid w:val="00B370E3"/>
    <w:rsid w:val="00B93F9E"/>
    <w:rsid w:val="00B94595"/>
    <w:rsid w:val="00BA4EBC"/>
    <w:rsid w:val="00C94E80"/>
    <w:rsid w:val="00CA239C"/>
    <w:rsid w:val="00CE26E1"/>
    <w:rsid w:val="00CE6681"/>
    <w:rsid w:val="00D93FEB"/>
    <w:rsid w:val="00EC5953"/>
    <w:rsid w:val="00EE0E6A"/>
    <w:rsid w:val="00F059B0"/>
    <w:rsid w:val="00F26DD8"/>
    <w:rsid w:val="00F3470B"/>
    <w:rsid w:val="00F860DB"/>
    <w:rsid w:val="0541131D"/>
    <w:rsid w:val="094B0B10"/>
    <w:rsid w:val="098E29AA"/>
    <w:rsid w:val="16691734"/>
    <w:rsid w:val="174F63AE"/>
    <w:rsid w:val="1C0104F4"/>
    <w:rsid w:val="1C530F07"/>
    <w:rsid w:val="2FFA0EC4"/>
    <w:rsid w:val="34684994"/>
    <w:rsid w:val="412F0D8E"/>
    <w:rsid w:val="41DC50E6"/>
    <w:rsid w:val="42D155E0"/>
    <w:rsid w:val="46633098"/>
    <w:rsid w:val="50BC68ED"/>
    <w:rsid w:val="51E530E3"/>
    <w:rsid w:val="522B4CDD"/>
    <w:rsid w:val="5D100A61"/>
    <w:rsid w:val="5D4E0FEB"/>
    <w:rsid w:val="5E0F1C04"/>
    <w:rsid w:val="600863C9"/>
    <w:rsid w:val="623D08FE"/>
    <w:rsid w:val="67854486"/>
    <w:rsid w:val="6ABC11AD"/>
    <w:rsid w:val="6AE228B5"/>
    <w:rsid w:val="7539185A"/>
    <w:rsid w:val="79E069DF"/>
    <w:rsid w:val="7A580579"/>
    <w:rsid w:val="7ED24FD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nhideWhenUsed="0" w:uiPriority="0" w:semiHidden="0"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spacing w:after="160" w:line="259" w:lineRule="auto"/>
      <w:jc w:val="both"/>
    </w:pPr>
    <w:rPr>
      <w:rFonts w:ascii="Times New Roman" w:hAnsi="Times New Roman" w:eastAsia="宋体" w:cs="Times New Roman"/>
      <w:kern w:val="2"/>
      <w:sz w:val="21"/>
      <w:szCs w:val="24"/>
      <w:lang w:val="en-US" w:eastAsia="zh-CN" w:bidi="ar-SA"/>
    </w:rPr>
  </w:style>
  <w:style w:type="character" w:default="1" w:styleId="5">
    <w:name w:val="Default Paragraph Font"/>
    <w:autoRedefine/>
    <w:semiHidden/>
    <w:unhideWhenUsed/>
    <w:qFormat/>
    <w:uiPriority w:val="1"/>
  </w:style>
  <w:style w:type="table" w:default="1" w:styleId="4">
    <w:name w:val="Normal Table"/>
    <w:autoRedefine/>
    <w:semiHidden/>
    <w:unhideWhenUsed/>
    <w:qFormat/>
    <w:uiPriority w:val="99"/>
    <w:tblPr>
      <w:tblCellMar>
        <w:top w:w="0" w:type="dxa"/>
        <w:left w:w="108" w:type="dxa"/>
        <w:bottom w:w="0" w:type="dxa"/>
        <w:right w:w="108" w:type="dxa"/>
      </w:tblCellMar>
    </w:tblPr>
  </w:style>
  <w:style w:type="paragraph" w:styleId="2">
    <w:name w:val="Balloon Text"/>
    <w:basedOn w:val="1"/>
    <w:link w:val="7"/>
    <w:autoRedefine/>
    <w:semiHidden/>
    <w:unhideWhenUsed/>
    <w:qFormat/>
    <w:uiPriority w:val="99"/>
    <w:pPr>
      <w:spacing w:after="0" w:line="240" w:lineRule="auto"/>
    </w:pPr>
    <w:rPr>
      <w:rFonts w:ascii="Microsoft YaHei UI" w:eastAsia="Microsoft YaHei UI"/>
      <w:sz w:val="18"/>
      <w:szCs w:val="18"/>
    </w:rPr>
  </w:style>
  <w:style w:type="paragraph" w:styleId="3">
    <w:name w:val="HTML Preformatted"/>
    <w:basedOn w:val="1"/>
    <w:link w:val="6"/>
    <w:autoRedefine/>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pPr>
    <w:rPr>
      <w:rFonts w:hint="eastAsia" w:ascii="宋体" w:hAnsi="宋体"/>
      <w:kern w:val="0"/>
      <w:sz w:val="24"/>
    </w:rPr>
  </w:style>
  <w:style w:type="character" w:customStyle="1" w:styleId="6">
    <w:name w:val="HTML 预设格式 字符"/>
    <w:basedOn w:val="5"/>
    <w:link w:val="3"/>
    <w:autoRedefine/>
    <w:qFormat/>
    <w:uiPriority w:val="0"/>
    <w:rPr>
      <w:rFonts w:ascii="宋体" w:hAnsi="宋体" w:eastAsia="宋体" w:cs="Times New Roman"/>
      <w:sz w:val="24"/>
      <w:szCs w:val="24"/>
    </w:rPr>
  </w:style>
  <w:style w:type="character" w:customStyle="1" w:styleId="7">
    <w:name w:val="批注框文本 字符"/>
    <w:basedOn w:val="5"/>
    <w:link w:val="2"/>
    <w:autoRedefine/>
    <w:semiHidden/>
    <w:qFormat/>
    <w:uiPriority w:val="99"/>
    <w:rPr>
      <w:rFonts w:ascii="Microsoft YaHei UI" w:hAnsi="Times New Roman" w:eastAsia="Microsoft YaHei UI"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1702</Words>
  <Characters>1717</Characters>
  <Lines>15</Lines>
  <Paragraphs>4</Paragraphs>
  <TotalTime>12</TotalTime>
  <ScaleCrop>false</ScaleCrop>
  <LinksUpToDate>false</LinksUpToDate>
  <CharactersWithSpaces>1718</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2023-10-23T02:03:00Z</dcterms:created>
  <dc:creator>贝 水宽</dc:creator>
  <cp:lastModifiedBy>王子木</cp:lastModifiedBy>
  <dcterms:modified xsi:type="dcterms:W3CDTF">2026-03-27T08:05:59Z</dcterms:modified>
  <cp:revision>62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92B3406CFC604EC49A3054167F4C04D4_13</vt:lpwstr>
  </property>
  <property fmtid="{D5CDD505-2E9C-101B-9397-08002B2CF9AE}" pid="4" name="KSOTemplateDocerSaveRecord">
    <vt:lpwstr>eyJoZGlkIjoiMzEwNTM5NzYwMDRjMzkwZTVkZjY2ODkwMGIxNGU0OTUiLCJ1c2VySWQiOiIxMzE1MjY3NTUxIn0=</vt:lpwstr>
  </property>
</Properties>
</file>