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9F3C98">
      <w:pPr>
        <w:widowControl/>
        <w:spacing w:line="213" w:lineRule="atLeast"/>
        <w:jc w:val="center"/>
        <w:textAlignment w:val="baseline"/>
        <w:rPr>
          <w:rFonts w:ascii="宋体" w:hAnsi="宋体" w:eastAsia="宋体" w:cs="宋体"/>
          <w:b/>
          <w:bCs/>
          <w:color w:val="000000"/>
          <w:kern w:val="0"/>
          <w:sz w:val="44"/>
        </w:rPr>
      </w:pPr>
    </w:p>
    <w:p w14:paraId="33476403">
      <w:pPr>
        <w:widowControl/>
        <w:spacing w:line="213" w:lineRule="atLeast"/>
        <w:jc w:val="center"/>
        <w:textAlignment w:val="baseline"/>
        <w:rPr>
          <w:rFonts w:ascii="宋体" w:hAnsi="宋体" w:eastAsia="宋体" w:cs="宋体"/>
          <w:b/>
          <w:bCs/>
          <w:color w:val="000000"/>
          <w:kern w:val="0"/>
          <w:sz w:val="44"/>
        </w:rPr>
      </w:pPr>
    </w:p>
    <w:p w14:paraId="4C83D170">
      <w:pPr>
        <w:widowControl/>
        <w:spacing w:line="213" w:lineRule="atLeast"/>
        <w:jc w:val="center"/>
        <w:textAlignment w:val="baseline"/>
        <w:rPr>
          <w:rFonts w:ascii="宋体" w:hAnsi="宋体" w:eastAsia="宋体" w:cs="宋体"/>
          <w:b/>
          <w:bCs/>
          <w:color w:val="000000"/>
          <w:kern w:val="0"/>
          <w:sz w:val="44"/>
        </w:rPr>
      </w:pPr>
    </w:p>
    <w:p w14:paraId="22B287FD">
      <w:pPr>
        <w:keepNext w:val="0"/>
        <w:keepLines w:val="0"/>
        <w:pageBreakBefore w:val="0"/>
        <w:widowControl/>
        <w:kinsoku/>
        <w:wordWrap/>
        <w:overflowPunct/>
        <w:topLinePunct w:val="0"/>
        <w:autoSpaceDE/>
        <w:autoSpaceDN/>
        <w:bidi w:val="0"/>
        <w:adjustRightInd/>
        <w:snapToGrid/>
        <w:spacing w:line="580" w:lineRule="exact"/>
        <w:jc w:val="center"/>
        <w:textAlignment w:val="baseline"/>
        <w:rPr>
          <w:rFonts w:ascii="宋体" w:hAnsi="宋体" w:eastAsia="宋体" w:cs="宋体"/>
          <w:b/>
          <w:bCs/>
          <w:color w:val="000000"/>
          <w:kern w:val="0"/>
          <w:sz w:val="44"/>
        </w:rPr>
      </w:pPr>
    </w:p>
    <w:p w14:paraId="020919C6">
      <w:pPr>
        <w:keepNext w:val="0"/>
        <w:keepLines w:val="0"/>
        <w:pageBreakBefore w:val="0"/>
        <w:widowControl/>
        <w:kinsoku/>
        <w:wordWrap/>
        <w:overflowPunct/>
        <w:topLinePunct w:val="0"/>
        <w:autoSpaceDE/>
        <w:autoSpaceDN/>
        <w:bidi w:val="0"/>
        <w:adjustRightInd/>
        <w:snapToGrid/>
        <w:spacing w:line="520" w:lineRule="exact"/>
        <w:jc w:val="center"/>
        <w:textAlignment w:val="baseline"/>
        <w:rPr>
          <w:rFonts w:ascii="宋体" w:hAnsi="宋体" w:eastAsia="宋体" w:cs="宋体"/>
          <w:b/>
          <w:bCs/>
          <w:color w:val="000000"/>
          <w:kern w:val="0"/>
          <w:sz w:val="44"/>
        </w:rPr>
      </w:pPr>
    </w:p>
    <w:p w14:paraId="6F224085">
      <w:pPr>
        <w:jc w:val="both"/>
        <w:rPr>
          <w:rFonts w:hint="eastAsia" w:ascii="方正小标宋_GBK" w:hAnsi="方正小标宋_GBK" w:eastAsia="方正小标宋_GBK" w:cs="方正小标宋_GBK"/>
          <w:b w:val="0"/>
          <w:bCs/>
          <w:sz w:val="44"/>
          <w:szCs w:val="44"/>
          <w:lang w:val="en-US" w:eastAsia="zh-CN"/>
        </w:rPr>
      </w:pPr>
    </w:p>
    <w:p w14:paraId="2A057DEA">
      <w:pPr>
        <w:jc w:val="center"/>
        <w:rPr>
          <w:rFonts w:hint="default" w:ascii="方正小标宋_GBK" w:hAnsi="方正小标宋_GBK" w:eastAsia="仿宋_GB2312" w:cs="方正小标宋_GBK"/>
          <w:b w:val="0"/>
          <w:bCs/>
          <w:sz w:val="44"/>
          <w:szCs w:val="44"/>
          <w:lang w:val="en-US" w:eastAsia="zh-CN"/>
        </w:rPr>
      </w:pPr>
      <w:r>
        <w:rPr>
          <w:rFonts w:hint="eastAsia" w:ascii="方正小标宋_GBK" w:hAnsi="方正小标宋_GBK" w:eastAsia="方正小标宋_GBK" w:cs="方正小标宋_GBK"/>
          <w:b w:val="0"/>
          <w:bCs/>
          <w:sz w:val="44"/>
          <w:szCs w:val="44"/>
          <w:lang w:val="en-US" w:eastAsia="zh-CN"/>
        </w:rPr>
        <w:t>关于印发</w:t>
      </w:r>
      <w:r>
        <w:rPr>
          <w:rFonts w:hint="eastAsia" w:ascii="仿宋_GB2312" w:hAnsi="仿宋_GB2312" w:eastAsia="仿宋_GB2312" w:cs="仿宋_GB2312"/>
          <w:sz w:val="32"/>
          <w:szCs w:val="32"/>
        </w:rPr>
        <w:t>《</w:t>
      </w:r>
      <w:r>
        <w:rPr>
          <w:rFonts w:hint="eastAsia" w:ascii="方正小标宋_GBK" w:hAnsi="方正小标宋_GBK" w:eastAsia="方正小标宋_GBK" w:cs="方正小标宋_GBK"/>
          <w:b w:val="0"/>
          <w:bCs/>
          <w:sz w:val="44"/>
          <w:szCs w:val="44"/>
          <w:lang w:val="en-US" w:eastAsia="zh-CN"/>
        </w:rPr>
        <w:t>2023</w:t>
      </w:r>
      <w:bookmarkStart w:id="0" w:name="_GoBack"/>
      <w:bookmarkEnd w:id="0"/>
      <w:r>
        <w:rPr>
          <w:rFonts w:hint="eastAsia" w:ascii="方正小标宋_GBK" w:hAnsi="方正小标宋_GBK" w:eastAsia="方正小标宋_GBK" w:cs="方正小标宋_GBK"/>
          <w:b w:val="0"/>
          <w:bCs/>
          <w:sz w:val="44"/>
          <w:szCs w:val="44"/>
          <w:lang w:val="en-US" w:eastAsia="zh-CN"/>
        </w:rPr>
        <w:t>年六合区</w:t>
      </w:r>
      <w:r>
        <w:rPr>
          <w:rFonts w:hint="eastAsia" w:ascii="方正小标宋_GBK" w:hAnsi="方正小标宋_GBK" w:eastAsia="方正小标宋_GBK" w:cs="方正小标宋_GBK"/>
          <w:b w:val="0"/>
          <w:bCs/>
          <w:sz w:val="44"/>
          <w:szCs w:val="44"/>
        </w:rPr>
        <w:t>农机报废更新</w:t>
      </w:r>
      <w:r>
        <w:rPr>
          <w:rFonts w:hint="eastAsia" w:ascii="方正小标宋_GBK" w:hAnsi="方正小标宋_GBK" w:eastAsia="方正小标宋_GBK" w:cs="方正小标宋_GBK"/>
          <w:b w:val="0"/>
          <w:bCs/>
          <w:sz w:val="44"/>
          <w:szCs w:val="44"/>
          <w:lang w:val="en-US" w:eastAsia="zh-CN"/>
        </w:rPr>
        <w:t>实施方案及管理制度</w:t>
      </w:r>
      <w:r>
        <w:rPr>
          <w:rFonts w:hint="eastAsia" w:ascii="仿宋_GB2312" w:hAnsi="仿宋_GB2312" w:eastAsia="仿宋_GB2312" w:cs="仿宋_GB2312"/>
          <w:sz w:val="32"/>
          <w:szCs w:val="32"/>
        </w:rPr>
        <w:t>》</w:t>
      </w:r>
      <w:r>
        <w:rPr>
          <w:rFonts w:hint="eastAsia" w:ascii="方正小标宋_GBK" w:hAnsi="方正小标宋_GBK" w:eastAsia="方正小标宋_GBK" w:cs="方正小标宋_GBK"/>
          <w:sz w:val="44"/>
          <w:szCs w:val="44"/>
          <w:lang w:val="en-US" w:eastAsia="zh-CN"/>
        </w:rPr>
        <w:t>的通知</w:t>
      </w:r>
    </w:p>
    <w:p w14:paraId="4FF7B8C8">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各街道农村工作办公室、财政资产办公室，竹镇镇农村工作和建设办公室、财政资产办公室：</w:t>
      </w:r>
    </w:p>
    <w:p w14:paraId="5473999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kern w:val="0"/>
          <w:sz w:val="32"/>
          <w:szCs w:val="32"/>
          <w:lang w:val="en-US" w:eastAsia="zh-CN"/>
        </w:rPr>
        <w:t>为切实做好农机报废更新工作，充分发挥政策效益，推动我区老旧农机具迭代更新，促进现代农业高质量发展，</w:t>
      </w:r>
      <w:r>
        <w:rPr>
          <w:rFonts w:hint="eastAsia" w:ascii="仿宋_GB2312" w:hAnsi="仿宋_GB2312" w:eastAsia="仿宋_GB2312" w:cs="仿宋_GB2312"/>
          <w:kern w:val="0"/>
          <w:sz w:val="32"/>
          <w:szCs w:val="32"/>
          <w:lang w:eastAsia="zh-CN"/>
        </w:rPr>
        <w:t>根据省财政厅、省农业农村厅</w:t>
      </w:r>
      <w:r>
        <w:rPr>
          <w:rFonts w:hint="eastAsia" w:ascii="仿宋_GB2312" w:hAnsi="仿宋_GB2312" w:eastAsia="仿宋_GB2312" w:cs="仿宋_GB2312"/>
          <w:sz w:val="32"/>
          <w:szCs w:val="32"/>
        </w:rPr>
        <w:t>《关于印发江苏省农业机械报废更新补贴实施意见的通知》（苏农机〔2020〕10号）</w:t>
      </w:r>
      <w:r>
        <w:rPr>
          <w:rFonts w:hint="eastAsia" w:ascii="仿宋_GB2312" w:hAnsi="仿宋_GB2312" w:eastAsia="仿宋_GB2312" w:cs="仿宋_GB2312"/>
          <w:sz w:val="32"/>
          <w:szCs w:val="32"/>
          <w:lang w:val="en-US" w:eastAsia="zh-CN"/>
        </w:rPr>
        <w:t>要求，结合我区实际，现将</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六合区农机报废更新实施方案及管理制度</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印发给你们，请结合实际认真遵照执行：</w:t>
      </w:r>
    </w:p>
    <w:p w14:paraId="0BAA5F4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附件1：2023年六合区</w:t>
      </w:r>
      <w:r>
        <w:rPr>
          <w:rFonts w:hint="eastAsia" w:ascii="仿宋_GB2312" w:hAnsi="仿宋_GB2312" w:eastAsia="仿宋_GB2312" w:cs="仿宋_GB2312"/>
          <w:b w:val="0"/>
          <w:bCs/>
          <w:sz w:val="32"/>
          <w:szCs w:val="32"/>
        </w:rPr>
        <w:t>农机报废更新</w:t>
      </w:r>
      <w:r>
        <w:rPr>
          <w:rFonts w:hint="eastAsia" w:ascii="仿宋_GB2312" w:hAnsi="仿宋_GB2312" w:eastAsia="仿宋_GB2312" w:cs="仿宋_GB2312"/>
          <w:b w:val="0"/>
          <w:bCs/>
          <w:sz w:val="32"/>
          <w:szCs w:val="32"/>
          <w:lang w:val="en-US" w:eastAsia="zh-CN"/>
        </w:rPr>
        <w:t>实施方案</w:t>
      </w:r>
    </w:p>
    <w:p w14:paraId="782BAB43">
      <w:pPr>
        <w:keepNext w:val="0"/>
        <w:keepLines w:val="0"/>
        <w:pageBreakBefore w:val="0"/>
        <w:widowControl w:val="0"/>
        <w:kinsoku/>
        <w:wordWrap/>
        <w:overflowPunct/>
        <w:topLinePunct w:val="0"/>
        <w:autoSpaceDE/>
        <w:autoSpaceDN/>
        <w:bidi w:val="0"/>
        <w:adjustRightInd/>
        <w:snapToGrid/>
        <w:spacing w:line="560" w:lineRule="exact"/>
        <w:ind w:firstLine="641" w:firstLineChars="229"/>
        <w:textAlignment w:val="auto"/>
        <w:rPr>
          <w:rFonts w:hint="eastAsia" w:ascii="仿宋_GB2312" w:hAnsi="仿宋_GB2312" w:eastAsia="仿宋_GB2312" w:cs="仿宋_GB2312"/>
          <w:sz w:val="32"/>
          <w:szCs w:val="32"/>
          <w:lang w:val="en-US" w:eastAsia="zh-CN"/>
        </w:rPr>
      </w:pPr>
      <w:r>
        <w:rPr>
          <w:rFonts w:hint="eastAsia"/>
          <w:sz w:val="28"/>
          <w:szCs w:val="28"/>
          <w:lang w:val="en-US" w:eastAsia="zh-CN"/>
        </w:rPr>
        <w:t xml:space="preserve">    </w:t>
      </w:r>
      <w:r>
        <w:rPr>
          <w:rFonts w:hint="eastAsia" w:ascii="仿宋_GB2312" w:hAnsi="仿宋_GB2312" w:eastAsia="仿宋_GB2312" w:cs="仿宋_GB2312"/>
          <w:sz w:val="32"/>
          <w:szCs w:val="32"/>
          <w:lang w:val="en-US" w:eastAsia="zh-CN"/>
        </w:rPr>
        <w:t xml:space="preserve"> 2：2023年六合区</w:t>
      </w:r>
      <w:r>
        <w:rPr>
          <w:rFonts w:hint="eastAsia" w:ascii="仿宋_GB2312" w:hAnsi="仿宋_GB2312" w:eastAsia="仿宋_GB2312" w:cs="仿宋_GB2312"/>
          <w:b w:val="0"/>
          <w:bCs/>
          <w:sz w:val="32"/>
          <w:szCs w:val="32"/>
        </w:rPr>
        <w:t>农机报废</w:t>
      </w:r>
      <w:r>
        <w:rPr>
          <w:rFonts w:hint="eastAsia" w:ascii="仿宋_GB2312" w:hAnsi="仿宋_GB2312" w:eastAsia="仿宋_GB2312" w:cs="仿宋_GB2312"/>
          <w:b w:val="0"/>
          <w:bCs/>
          <w:sz w:val="32"/>
          <w:szCs w:val="32"/>
          <w:lang w:val="en-US" w:eastAsia="zh-CN"/>
        </w:rPr>
        <w:t>管理制度</w:t>
      </w:r>
    </w:p>
    <w:p w14:paraId="01065B53">
      <w:pPr>
        <w:keepNext w:val="0"/>
        <w:keepLines w:val="0"/>
        <w:pageBreakBefore w:val="0"/>
        <w:widowControl w:val="0"/>
        <w:kinsoku/>
        <w:wordWrap/>
        <w:overflowPunct/>
        <w:topLinePunct w:val="0"/>
        <w:autoSpaceDE/>
        <w:autoSpaceDN/>
        <w:bidi w:val="0"/>
        <w:adjustRightInd/>
        <w:snapToGrid/>
        <w:spacing w:line="560" w:lineRule="exact"/>
        <w:ind w:left="420" w:hanging="420" w:hangingChars="150"/>
        <w:textAlignment w:val="auto"/>
        <w:rPr>
          <w:rFonts w:hint="default" w:eastAsia="宋体"/>
          <w:sz w:val="28"/>
          <w:szCs w:val="28"/>
          <w:lang w:val="en-US" w:eastAsia="zh-CN"/>
        </w:rPr>
      </w:pPr>
    </w:p>
    <w:p w14:paraId="12F781FF">
      <w:pPr>
        <w:keepNext w:val="0"/>
        <w:keepLines w:val="0"/>
        <w:pageBreakBefore w:val="0"/>
        <w:widowControl w:val="0"/>
        <w:kinsoku/>
        <w:wordWrap/>
        <w:overflowPunct/>
        <w:topLinePunct w:val="0"/>
        <w:autoSpaceDE/>
        <w:autoSpaceDN/>
        <w:bidi w:val="0"/>
        <w:adjustRightInd/>
        <w:snapToGrid/>
        <w:spacing w:line="560" w:lineRule="exact"/>
        <w:ind w:left="420" w:hanging="420" w:hangingChars="150"/>
        <w:textAlignment w:val="auto"/>
        <w:rPr>
          <w:rFonts w:hint="eastAsia" w:ascii="仿宋_GB2312" w:hAnsi="仿宋_GB2312" w:eastAsia="仿宋_GB2312" w:cs="仿宋_GB2312"/>
          <w:sz w:val="32"/>
          <w:szCs w:val="32"/>
          <w:lang w:val="en-US" w:eastAsia="zh-CN"/>
        </w:rPr>
      </w:pPr>
      <w:r>
        <w:rPr>
          <w:rFonts w:hint="eastAsia"/>
          <w:sz w:val="28"/>
          <w:szCs w:val="28"/>
          <w:lang w:val="en-US" w:eastAsia="zh-CN"/>
        </w:rPr>
        <w:t xml:space="preserve">                              </w:t>
      </w:r>
      <w:r>
        <w:rPr>
          <w:rFonts w:hint="eastAsia" w:ascii="仿宋_GB2312" w:hAnsi="仿宋_GB2312" w:eastAsia="仿宋_GB2312" w:cs="仿宋_GB2312"/>
          <w:sz w:val="32"/>
          <w:szCs w:val="32"/>
          <w:lang w:val="en-US" w:eastAsia="zh-CN"/>
        </w:rPr>
        <w:t xml:space="preserve">  南京市六合区农业农村局</w:t>
      </w:r>
    </w:p>
    <w:p w14:paraId="016753AC">
      <w:pPr>
        <w:keepNext w:val="0"/>
        <w:keepLines w:val="0"/>
        <w:pageBreakBefore w:val="0"/>
        <w:widowControl w:val="0"/>
        <w:kinsoku/>
        <w:wordWrap/>
        <w:overflowPunct/>
        <w:topLinePunct w:val="0"/>
        <w:autoSpaceDE/>
        <w:autoSpaceDN/>
        <w:bidi w:val="0"/>
        <w:adjustRightInd/>
        <w:snapToGrid/>
        <w:spacing w:line="560" w:lineRule="exact"/>
        <w:ind w:left="420" w:hanging="480" w:hangingChars="15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2023年3月12日</w:t>
      </w:r>
    </w:p>
    <w:p w14:paraId="2A891B3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w:t>
      </w:r>
    </w:p>
    <w:p w14:paraId="1352A2AF">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center"/>
        <w:textAlignment w:val="auto"/>
        <w:rPr>
          <w:rFonts w:hint="eastAsia" w:ascii="方正小标宋_GBK" w:hAnsi="方正小标宋_GBK" w:eastAsia="方正小标宋_GBK" w:cs="方正小标宋_GBK"/>
          <w:b w:val="0"/>
          <w:bCs/>
          <w:sz w:val="44"/>
          <w:szCs w:val="44"/>
          <w:lang w:val="en-US" w:eastAsia="zh-CN"/>
        </w:rPr>
      </w:pPr>
    </w:p>
    <w:p w14:paraId="2EF00A86">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方正小标宋_GBK" w:hAnsi="方正小标宋_GBK" w:eastAsia="方正小标宋_GBK" w:cs="方正小标宋_GBK"/>
          <w:b w:val="0"/>
          <w:bCs/>
          <w:sz w:val="44"/>
          <w:szCs w:val="44"/>
          <w:lang w:val="en-US" w:eastAsia="zh-CN"/>
        </w:rPr>
      </w:pPr>
    </w:p>
    <w:p w14:paraId="006E596D">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center"/>
        <w:textAlignment w:val="auto"/>
        <w:rPr>
          <w:rFonts w:hint="eastAsia" w:ascii="黑体" w:hAnsi="黑体" w:eastAsia="黑体" w:cs="黑体"/>
          <w:b w:val="0"/>
          <w:bCs/>
          <w:sz w:val="32"/>
          <w:szCs w:val="32"/>
          <w:lang w:val="en-US" w:eastAsia="zh-CN"/>
        </w:rPr>
      </w:pPr>
      <w:r>
        <w:rPr>
          <w:rFonts w:hint="eastAsia" w:ascii="黑体" w:hAnsi="黑体" w:eastAsia="黑体" w:cs="黑体"/>
          <w:b w:val="0"/>
          <w:bCs/>
          <w:sz w:val="32"/>
          <w:szCs w:val="32"/>
          <w:lang w:val="en-US" w:eastAsia="zh-CN"/>
        </w:rPr>
        <w:t>附件1：2023年六合区</w:t>
      </w:r>
      <w:r>
        <w:rPr>
          <w:rFonts w:hint="eastAsia" w:ascii="黑体" w:hAnsi="黑体" w:eastAsia="黑体" w:cs="黑体"/>
          <w:b w:val="0"/>
          <w:bCs/>
          <w:sz w:val="32"/>
          <w:szCs w:val="32"/>
        </w:rPr>
        <w:t>农机报废更新</w:t>
      </w:r>
      <w:r>
        <w:rPr>
          <w:rFonts w:hint="eastAsia" w:ascii="黑体" w:hAnsi="黑体" w:eastAsia="黑体" w:cs="黑体"/>
          <w:b w:val="0"/>
          <w:bCs/>
          <w:sz w:val="32"/>
          <w:szCs w:val="32"/>
          <w:lang w:val="en-US" w:eastAsia="zh-CN"/>
        </w:rPr>
        <w:t>实施方案</w:t>
      </w:r>
    </w:p>
    <w:p w14:paraId="51D5BE95">
      <w:pPr>
        <w:keepNext w:val="0"/>
        <w:keepLines w:val="0"/>
        <w:pageBreakBefore w:val="0"/>
        <w:widowControl w:val="0"/>
        <w:kinsoku/>
        <w:wordWrap/>
        <w:overflowPunct/>
        <w:topLinePunct w:val="0"/>
        <w:autoSpaceDE/>
        <w:autoSpaceDN/>
        <w:bidi w:val="0"/>
        <w:adjustRightInd/>
        <w:snapToGrid/>
        <w:spacing w:before="180" w:line="560" w:lineRule="exact"/>
        <w:ind w:right="128"/>
        <w:textAlignment w:val="auto"/>
        <w:rPr>
          <w:rFonts w:hint="eastAsia" w:ascii="黑体" w:hAnsi="黑体" w:eastAsia="黑体" w:cs="黑体"/>
          <w:spacing w:val="-4"/>
          <w:sz w:val="32"/>
          <w:szCs w:val="32"/>
          <w:lang w:val="en-US" w:eastAsia="zh-CN"/>
        </w:rPr>
      </w:pPr>
      <w:r>
        <w:rPr>
          <w:rFonts w:hint="eastAsia" w:ascii="黑体" w:hAnsi="黑体" w:eastAsia="黑体" w:cs="黑体"/>
          <w:spacing w:val="-4"/>
          <w:sz w:val="32"/>
          <w:szCs w:val="32"/>
          <w:lang w:val="en-US" w:eastAsia="zh-CN"/>
        </w:rPr>
        <w:t>一、总体要求</w:t>
      </w:r>
    </w:p>
    <w:p w14:paraId="5771B66C">
      <w:pPr>
        <w:keepNext w:val="0"/>
        <w:keepLines w:val="0"/>
        <w:pageBreakBefore w:val="0"/>
        <w:widowControl w:val="0"/>
        <w:kinsoku/>
        <w:wordWrap/>
        <w:overflowPunct/>
        <w:topLinePunct w:val="0"/>
        <w:autoSpaceDE/>
        <w:autoSpaceDN/>
        <w:bidi w:val="0"/>
        <w:adjustRightInd/>
        <w:snapToGrid/>
        <w:spacing w:line="560" w:lineRule="exact"/>
        <w:ind w:right="128" w:firstLine="623"/>
        <w:textAlignment w:val="auto"/>
        <w:rPr>
          <w:rFonts w:hint="eastAsia" w:ascii="仿宋_GB2312" w:hAnsi="仿宋_GB2312" w:eastAsia="仿宋_GB2312" w:cs="仿宋_GB2312"/>
          <w:spacing w:val="8"/>
          <w:sz w:val="32"/>
          <w:szCs w:val="32"/>
          <w:lang w:val="en-US" w:eastAsia="zh-CN"/>
        </w:rPr>
      </w:pPr>
      <w:r>
        <w:rPr>
          <w:rFonts w:hint="eastAsia" w:ascii="仿宋_GB2312" w:hAnsi="仿宋_GB2312" w:eastAsia="仿宋_GB2312" w:cs="仿宋_GB2312"/>
          <w:spacing w:val="-4"/>
          <w:sz w:val="32"/>
          <w:szCs w:val="32"/>
        </w:rPr>
        <w:t>牢固树立新发展理念，围绕实施乡村振兴战略，坚持“农民自</w:t>
      </w:r>
      <w:r>
        <w:rPr>
          <w:rFonts w:hint="eastAsia" w:ascii="仿宋_GB2312" w:hAnsi="仿宋_GB2312" w:eastAsia="仿宋_GB2312" w:cs="仿宋_GB2312"/>
          <w:spacing w:val="-3"/>
          <w:sz w:val="32"/>
          <w:szCs w:val="32"/>
        </w:rPr>
        <w:t>愿、政策支持、方便高效、安全环保”的原则，</w:t>
      </w:r>
      <w:r>
        <w:rPr>
          <w:rFonts w:hint="eastAsia" w:ascii="仿宋_GB2312" w:hAnsi="仿宋_GB2312" w:eastAsia="仿宋_GB2312" w:cs="仿宋_GB2312"/>
          <w:spacing w:val="-4"/>
          <w:sz w:val="32"/>
          <w:szCs w:val="32"/>
        </w:rPr>
        <w:t>通过政策支持，进</w:t>
      </w:r>
      <w:r>
        <w:rPr>
          <w:rFonts w:hint="eastAsia" w:ascii="仿宋_GB2312" w:hAnsi="仿宋_GB2312" w:eastAsia="仿宋_GB2312" w:cs="仿宋_GB2312"/>
          <w:spacing w:val="1"/>
          <w:sz w:val="32"/>
          <w:szCs w:val="32"/>
        </w:rPr>
        <w:t>一步加大耗能高、污染重、安全性能低的老旧农机淘汰力度，加快先进适用、节能环保、安全可靠农业机械的推广应用，优化农</w:t>
      </w:r>
      <w:r>
        <w:rPr>
          <w:rFonts w:hint="eastAsia" w:ascii="仿宋_GB2312" w:hAnsi="仿宋_GB2312" w:eastAsia="仿宋_GB2312" w:cs="仿宋_GB2312"/>
          <w:spacing w:val="-2"/>
          <w:sz w:val="32"/>
          <w:szCs w:val="32"/>
        </w:rPr>
        <w:t>机装备结构，推进农业机械化转型升级和农</w:t>
      </w:r>
      <w:r>
        <w:rPr>
          <w:rFonts w:hint="eastAsia" w:ascii="仿宋_GB2312" w:hAnsi="仿宋_GB2312" w:eastAsia="仿宋_GB2312" w:cs="仿宋_GB2312"/>
          <w:spacing w:val="-3"/>
          <w:sz w:val="32"/>
          <w:szCs w:val="32"/>
        </w:rPr>
        <w:t>业农村高质量发展。</w:t>
      </w:r>
    </w:p>
    <w:p w14:paraId="5D08464B">
      <w:pPr>
        <w:keepNext w:val="0"/>
        <w:keepLines w:val="0"/>
        <w:pageBreakBefore w:val="0"/>
        <w:widowControl w:val="0"/>
        <w:numPr>
          <w:numId w:val="0"/>
        </w:numPr>
        <w:kinsoku/>
        <w:wordWrap/>
        <w:overflowPunct/>
        <w:topLinePunct w:val="0"/>
        <w:autoSpaceDE/>
        <w:autoSpaceDN/>
        <w:bidi w:val="0"/>
        <w:adjustRightInd/>
        <w:snapToGrid/>
        <w:spacing w:line="560" w:lineRule="exact"/>
        <w:textAlignment w:val="auto"/>
        <w:rPr>
          <w:rFonts w:ascii="黑体" w:hAnsi="黑体" w:eastAsia="黑体" w:cs="黑体"/>
          <w:spacing w:val="8"/>
          <w:sz w:val="32"/>
          <w:szCs w:val="32"/>
        </w:rPr>
      </w:pPr>
      <w:r>
        <w:rPr>
          <w:rFonts w:hint="eastAsia" w:ascii="黑体" w:hAnsi="黑体" w:eastAsia="黑体" w:cs="黑体"/>
          <w:spacing w:val="8"/>
          <w:sz w:val="32"/>
          <w:szCs w:val="32"/>
          <w:lang w:val="en-US" w:eastAsia="zh-CN"/>
        </w:rPr>
        <w:t>二、</w:t>
      </w:r>
      <w:r>
        <w:rPr>
          <w:rFonts w:ascii="黑体" w:hAnsi="黑体" w:eastAsia="黑体" w:cs="黑体"/>
          <w:spacing w:val="8"/>
          <w:sz w:val="32"/>
          <w:szCs w:val="32"/>
        </w:rPr>
        <w:t>实施范围和补贴对象</w:t>
      </w:r>
    </w:p>
    <w:p w14:paraId="1BEEEED9">
      <w:pPr>
        <w:keepNext w:val="0"/>
        <w:keepLines w:val="0"/>
        <w:pageBreakBefore w:val="0"/>
        <w:widowControl w:val="0"/>
        <w:numPr>
          <w:numId w:val="0"/>
        </w:numPr>
        <w:kinsoku/>
        <w:wordWrap/>
        <w:overflowPunct/>
        <w:topLinePunct w:val="0"/>
        <w:autoSpaceDE/>
        <w:autoSpaceDN/>
        <w:bidi w:val="0"/>
        <w:adjustRightInd/>
        <w:snapToGrid/>
        <w:spacing w:line="560" w:lineRule="exact"/>
        <w:ind w:firstLine="644" w:firstLineChars="200"/>
        <w:textAlignment w:val="auto"/>
        <w:rPr>
          <w:rFonts w:hint="eastAsia" w:ascii="黑体" w:hAnsi="黑体" w:eastAsia="黑体" w:cs="黑体"/>
          <w:color w:val="auto"/>
          <w:sz w:val="32"/>
          <w:szCs w:val="32"/>
          <w:lang w:val="en-US" w:eastAsia="zh-CN"/>
        </w:rPr>
      </w:pPr>
      <w:r>
        <w:rPr>
          <w:rFonts w:hint="eastAsia" w:ascii="仿宋_GB2312" w:hAnsi="仿宋_GB2312" w:eastAsia="仿宋_GB2312" w:cs="仿宋_GB2312"/>
          <w:spacing w:val="1"/>
          <w:sz w:val="32"/>
          <w:szCs w:val="32"/>
        </w:rPr>
        <w:t>农机报废更新补贴政策在全省范围内实施。补贴对象为从事</w:t>
      </w:r>
      <w:r>
        <w:rPr>
          <w:rFonts w:hint="eastAsia" w:ascii="仿宋_GB2312" w:hAnsi="仿宋_GB2312" w:eastAsia="仿宋_GB2312" w:cs="仿宋_GB2312"/>
          <w:spacing w:val="16"/>
          <w:sz w:val="32"/>
          <w:szCs w:val="32"/>
        </w:rPr>
        <w:t xml:space="preserve"> </w:t>
      </w:r>
      <w:r>
        <w:rPr>
          <w:rFonts w:hint="eastAsia" w:ascii="仿宋_GB2312" w:hAnsi="仿宋_GB2312" w:eastAsia="仿宋_GB2312" w:cs="仿宋_GB2312"/>
          <w:spacing w:val="1"/>
          <w:sz w:val="32"/>
          <w:szCs w:val="32"/>
        </w:rPr>
        <w:t>农业生产的个人和农业生产经营组织，农业生产经营组织包括农村集体经济组织、农民专业合作经济组织、农业企业和其他从事</w:t>
      </w:r>
      <w:r>
        <w:rPr>
          <w:rFonts w:hint="eastAsia" w:ascii="仿宋_GB2312" w:hAnsi="仿宋_GB2312" w:eastAsia="仿宋_GB2312" w:cs="仿宋_GB2312"/>
          <w:spacing w:val="-3"/>
          <w:sz w:val="32"/>
          <w:szCs w:val="32"/>
        </w:rPr>
        <w:t>农业生产经营的组织。</w:t>
      </w:r>
    </w:p>
    <w:p w14:paraId="6508EE7F">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auto"/>
          <w:sz w:val="32"/>
          <w:szCs w:val="32"/>
          <w:lang w:val="en-US" w:eastAsia="zh-CN"/>
        </w:rPr>
      </w:pPr>
      <w:r>
        <w:rPr>
          <w:rFonts w:hint="eastAsia" w:ascii="黑体" w:hAnsi="黑体" w:eastAsia="黑体" w:cs="黑体"/>
          <w:color w:val="auto"/>
          <w:sz w:val="32"/>
          <w:szCs w:val="32"/>
          <w:lang w:val="en-US" w:eastAsia="zh-CN"/>
        </w:rPr>
        <w:t>三、补贴种类和报废条件。</w:t>
      </w:r>
      <w:r>
        <w:rPr>
          <w:rFonts w:hint="eastAsia" w:ascii="仿宋_GB2312" w:hAnsi="仿宋_GB2312" w:eastAsia="仿宋_GB2312" w:cs="仿宋_GB2312"/>
          <w:color w:val="auto"/>
          <w:sz w:val="32"/>
          <w:szCs w:val="32"/>
          <w:lang w:val="en-US" w:eastAsia="zh-CN"/>
        </w:rPr>
        <w:tab/>
      </w:r>
    </w:p>
    <w:p w14:paraId="386D9CA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320" w:firstLineChars="100"/>
        <w:textAlignment w:val="auto"/>
        <w:rPr>
          <w:rFonts w:hint="eastAsia" w:ascii="楷体" w:hAnsi="楷体" w:eastAsia="楷体" w:cs="楷体"/>
          <w:color w:val="auto"/>
          <w:sz w:val="32"/>
          <w:szCs w:val="32"/>
          <w:lang w:val="en-US" w:eastAsia="zh-CN"/>
        </w:rPr>
      </w:pPr>
      <w:r>
        <w:rPr>
          <w:rFonts w:hint="eastAsia" w:ascii="楷体" w:hAnsi="楷体" w:eastAsia="楷体" w:cs="楷体"/>
          <w:color w:val="auto"/>
          <w:sz w:val="32"/>
          <w:szCs w:val="32"/>
          <w:lang w:val="en-US" w:eastAsia="zh-CN"/>
        </w:rPr>
        <w:t>（一)补贴种类。</w:t>
      </w:r>
    </w:p>
    <w:p w14:paraId="2889743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320" w:leftChars="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补贴种类为拖拉机、联合收割机、水稻插秧机、机动喷雾机、饲料粉碎机、铡草机。</w:t>
      </w:r>
    </w:p>
    <w:p w14:paraId="0E081C5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320" w:firstLineChars="100"/>
        <w:textAlignment w:val="auto"/>
        <w:rPr>
          <w:rFonts w:hint="eastAsia" w:ascii="楷体" w:hAnsi="楷体" w:eastAsia="楷体" w:cs="楷体"/>
          <w:color w:val="auto"/>
          <w:sz w:val="32"/>
          <w:szCs w:val="32"/>
          <w:lang w:val="en-US" w:eastAsia="zh-CN"/>
        </w:rPr>
      </w:pPr>
      <w:r>
        <w:rPr>
          <w:rFonts w:hint="eastAsia" w:ascii="楷体" w:hAnsi="楷体" w:eastAsia="楷体" w:cs="楷体"/>
          <w:color w:val="auto"/>
          <w:sz w:val="32"/>
          <w:szCs w:val="32"/>
          <w:lang w:val="en-US" w:eastAsia="zh-CN"/>
        </w:rPr>
        <w:t>（二）报废条件。</w:t>
      </w:r>
    </w:p>
    <w:p w14:paraId="3EB568D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1.注册登记的拖拉机、联合收割机，机主需提供我区农机安全监理机构核发的牌证。</w:t>
      </w:r>
    </w:p>
    <w:p w14:paraId="2CE01AE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2.无牌证的拖拉机、联合收割机和未纳入牌证管理的农机，应当主要部件齐全，具有铭牌或出厂编号、车架号、发动机号等机具身份信息；来源清楚合法，机主就机具来源、归属做出书面承诺。</w:t>
      </w:r>
    </w:p>
    <w:p w14:paraId="69FDB54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3.对未达到报废年限但安全隐患大、故障发生率高、损毁严重、维修成本高的农机，经机主书面申请可提前办理报废，并申请报废补贴。</w:t>
      </w:r>
    </w:p>
    <w:p w14:paraId="7DEC4DA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4.改装拼装、来历不明，无铭牌或无出厂编号、车架号、发动机号的农机，不予受理。</w:t>
      </w:r>
    </w:p>
    <w:p w14:paraId="1E47F041">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三、补贴标准</w:t>
      </w:r>
    </w:p>
    <w:p w14:paraId="3E39177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农机报废更新补贴由报废部分补贴与更新部分补贴两部分构成。报废部分补贴实行定额补贴；更新部分补贴按照农机购置与应用补贴政策规定执行。</w:t>
      </w:r>
    </w:p>
    <w:p w14:paraId="1387C84F">
      <w:pPr>
        <w:keepNext w:val="0"/>
        <w:keepLines w:val="0"/>
        <w:pageBreakBefore w:val="0"/>
        <w:widowControl w:val="0"/>
        <w:numPr>
          <w:numId w:val="0"/>
        </w:numPr>
        <w:kinsoku/>
        <w:wordWrap/>
        <w:overflowPunct/>
        <w:topLinePunct w:val="0"/>
        <w:autoSpaceDE/>
        <w:autoSpaceDN/>
        <w:bidi w:val="0"/>
        <w:adjustRightInd/>
        <w:snapToGrid/>
        <w:spacing w:line="560" w:lineRule="exact"/>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四、补贴申领程序</w:t>
      </w:r>
    </w:p>
    <w:p w14:paraId="5DE831C5">
      <w:pPr>
        <w:keepNext w:val="0"/>
        <w:keepLines w:val="0"/>
        <w:pageBreakBefore w:val="0"/>
        <w:widowControl w:val="0"/>
        <w:kinsoku/>
        <w:wordWrap/>
        <w:overflowPunct/>
        <w:topLinePunct w:val="0"/>
        <w:autoSpaceDE/>
        <w:autoSpaceDN/>
        <w:bidi w:val="0"/>
        <w:adjustRightInd/>
        <w:snapToGrid/>
        <w:spacing w:line="560" w:lineRule="exact"/>
        <w:ind w:firstLine="660" w:firstLineChars="200"/>
        <w:textAlignment w:val="auto"/>
        <w:outlineLvl w:val="5"/>
        <w:rPr>
          <w:rFonts w:hint="eastAsia" w:ascii="楷体" w:hAnsi="楷体" w:eastAsia="楷体" w:cs="楷体"/>
          <w:sz w:val="32"/>
          <w:szCs w:val="32"/>
        </w:rPr>
      </w:pPr>
      <w:r>
        <w:rPr>
          <w:rFonts w:hint="eastAsia" w:ascii="楷体" w:hAnsi="楷体" w:eastAsia="楷体" w:cs="楷体"/>
          <w:spacing w:val="5"/>
          <w:sz w:val="32"/>
          <w:szCs w:val="32"/>
        </w:rPr>
        <w:t>（一）报废旧机。</w:t>
      </w:r>
    </w:p>
    <w:p w14:paraId="481FBC8E">
      <w:pPr>
        <w:keepNext w:val="0"/>
        <w:keepLines w:val="0"/>
        <w:pageBreakBefore w:val="0"/>
        <w:widowControl w:val="0"/>
        <w:kinsoku/>
        <w:wordWrap/>
        <w:overflowPunct/>
        <w:topLinePunct w:val="0"/>
        <w:autoSpaceDE/>
        <w:autoSpaceDN/>
        <w:bidi w:val="0"/>
        <w:adjustRightInd/>
        <w:snapToGrid/>
        <w:spacing w:line="560" w:lineRule="exact"/>
        <w:ind w:left="657"/>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7"/>
          <w:sz w:val="32"/>
          <w:szCs w:val="32"/>
        </w:rPr>
        <w:t>1.机主自愿将拟报废的农机交售给回收企业。</w:t>
      </w:r>
    </w:p>
    <w:p w14:paraId="3424C745">
      <w:pPr>
        <w:keepNext w:val="0"/>
        <w:keepLines w:val="0"/>
        <w:pageBreakBefore w:val="0"/>
        <w:widowControl w:val="0"/>
        <w:kinsoku/>
        <w:wordWrap/>
        <w:overflowPunct/>
        <w:topLinePunct w:val="0"/>
        <w:autoSpaceDE/>
        <w:autoSpaceDN/>
        <w:bidi w:val="0"/>
        <w:adjustRightInd/>
        <w:snapToGrid/>
        <w:spacing w:line="560" w:lineRule="exact"/>
        <w:ind w:right="79" w:firstLine="680"/>
        <w:textAlignment w:val="auto"/>
        <w:rPr>
          <w:rFonts w:hint="eastAsia"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1"/>
          <w:sz w:val="32"/>
          <w:szCs w:val="32"/>
        </w:rPr>
        <w:t>2.回收企业核对机主和拟报废的农机信息，拍摄机主与整机</w:t>
      </w:r>
      <w:r>
        <w:rPr>
          <w:rFonts w:hint="eastAsia" w:ascii="仿宋_GB2312" w:hAnsi="仿宋_GB2312" w:eastAsia="仿宋_GB2312" w:cs="仿宋_GB2312"/>
          <w:spacing w:val="-6"/>
          <w:sz w:val="32"/>
          <w:szCs w:val="32"/>
        </w:rPr>
        <w:t>左前方、右后方</w:t>
      </w:r>
      <w:r>
        <w:rPr>
          <w:rFonts w:hint="eastAsia" w:ascii="仿宋_GB2312" w:hAnsi="仿宋_GB2312" w:eastAsia="仿宋_GB2312" w:cs="仿宋_GB2312"/>
          <w:spacing w:val="-75"/>
          <w:sz w:val="32"/>
          <w:szCs w:val="32"/>
        </w:rPr>
        <w:t xml:space="preserve"> </w:t>
      </w:r>
      <w:r>
        <w:rPr>
          <w:rFonts w:hint="eastAsia" w:ascii="仿宋_GB2312" w:hAnsi="仿宋_GB2312" w:eastAsia="仿宋_GB2312" w:cs="仿宋_GB2312"/>
          <w:spacing w:val="-6"/>
          <w:sz w:val="32"/>
          <w:szCs w:val="32"/>
        </w:rPr>
        <w:t>45</w:t>
      </w:r>
      <w:r>
        <w:rPr>
          <w:rFonts w:hint="eastAsia" w:ascii="仿宋_GB2312" w:hAnsi="仿宋_GB2312" w:eastAsia="仿宋_GB2312" w:cs="仿宋_GB2312"/>
          <w:spacing w:val="-6"/>
          <w:sz w:val="32"/>
          <w:szCs w:val="32"/>
          <w:lang w:val="en-US" w:eastAsia="zh-CN"/>
        </w:rPr>
        <w:t>度</w:t>
      </w:r>
      <w:r>
        <w:rPr>
          <w:rFonts w:hint="eastAsia" w:ascii="仿宋_GB2312" w:hAnsi="仿宋_GB2312" w:eastAsia="仿宋_GB2312" w:cs="仿宋_GB2312"/>
          <w:spacing w:val="-6"/>
          <w:sz w:val="32"/>
          <w:szCs w:val="32"/>
        </w:rPr>
        <w:t>照片，拍摄并拓印车架号、发动机号，拍摄整</w:t>
      </w:r>
      <w:r>
        <w:rPr>
          <w:rFonts w:hint="eastAsia" w:ascii="仿宋_GB2312" w:hAnsi="仿宋_GB2312" w:eastAsia="仿宋_GB2312" w:cs="仿宋_GB2312"/>
          <w:spacing w:val="-3"/>
          <w:sz w:val="32"/>
          <w:szCs w:val="32"/>
        </w:rPr>
        <w:t>机铭牌、发动机铭牌等照片，对其真实性和唯一</w:t>
      </w:r>
      <w:r>
        <w:rPr>
          <w:rFonts w:hint="eastAsia" w:ascii="仿宋_GB2312" w:hAnsi="仿宋_GB2312" w:eastAsia="仿宋_GB2312" w:cs="仿宋_GB2312"/>
          <w:spacing w:val="-3"/>
          <w:sz w:val="32"/>
          <w:szCs w:val="32"/>
          <w:lang w:val="en-US" w:eastAsia="zh-CN"/>
        </w:rPr>
        <w:t>性负责。</w:t>
      </w:r>
    </w:p>
    <w:p w14:paraId="2B532047">
      <w:pPr>
        <w:keepNext w:val="0"/>
        <w:keepLines w:val="0"/>
        <w:pageBreakBefore w:val="0"/>
        <w:widowControl w:val="0"/>
        <w:kinsoku/>
        <w:wordWrap/>
        <w:overflowPunct/>
        <w:topLinePunct w:val="0"/>
        <w:autoSpaceDE/>
        <w:autoSpaceDN/>
        <w:bidi w:val="0"/>
        <w:adjustRightInd/>
        <w:snapToGrid/>
        <w:spacing w:line="560" w:lineRule="exact"/>
        <w:ind w:right="85" w:firstLine="644" w:firstLineChars="200"/>
        <w:textAlignment w:val="auto"/>
        <w:rPr>
          <w:rFonts w:hint="eastAsia"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1"/>
          <w:sz w:val="32"/>
          <w:szCs w:val="32"/>
        </w:rPr>
        <w:t>3.回收企业对注册登记的拖拉机、联合收割机，收回机具铭</w:t>
      </w:r>
      <w:r>
        <w:rPr>
          <w:rFonts w:hint="eastAsia" w:ascii="仿宋_GB2312" w:hAnsi="仿宋_GB2312" w:eastAsia="仿宋_GB2312" w:cs="仿宋_GB2312"/>
          <w:spacing w:val="-8"/>
          <w:sz w:val="32"/>
          <w:szCs w:val="32"/>
        </w:rPr>
        <w:t>牌，在《江苏省报废农业机械回收确认表》（见附件</w:t>
      </w:r>
      <w:r>
        <w:rPr>
          <w:rFonts w:hint="eastAsia" w:ascii="仿宋_GB2312" w:hAnsi="仿宋_GB2312" w:eastAsia="仿宋_GB2312" w:cs="仿宋_GB2312"/>
          <w:spacing w:val="-75"/>
          <w:sz w:val="32"/>
          <w:szCs w:val="32"/>
        </w:rPr>
        <w:t xml:space="preserve"> </w:t>
      </w:r>
      <w:r>
        <w:rPr>
          <w:rFonts w:hint="eastAsia" w:ascii="仿宋_GB2312" w:hAnsi="仿宋_GB2312" w:eastAsia="仿宋_GB2312" w:cs="仿宋_GB2312"/>
          <w:spacing w:val="-8"/>
          <w:sz w:val="32"/>
          <w:szCs w:val="32"/>
        </w:rPr>
        <w:t>2</w:t>
      </w:r>
      <w:r>
        <w:rPr>
          <w:rFonts w:hint="eastAsia" w:ascii="仿宋_GB2312" w:hAnsi="仿宋_GB2312" w:eastAsia="仿宋_GB2312" w:cs="仿宋_GB2312"/>
          <w:spacing w:val="-37"/>
          <w:sz w:val="32"/>
          <w:szCs w:val="32"/>
        </w:rPr>
        <w:t xml:space="preserve"> </w:t>
      </w:r>
      <w:r>
        <w:rPr>
          <w:rFonts w:hint="eastAsia" w:ascii="仿宋_GB2312" w:hAnsi="仿宋_GB2312" w:eastAsia="仿宋_GB2312" w:cs="仿宋_GB2312"/>
          <w:spacing w:val="-8"/>
          <w:sz w:val="32"/>
          <w:szCs w:val="32"/>
        </w:rPr>
        <w:t>，以下简称</w:t>
      </w:r>
      <w:r>
        <w:rPr>
          <w:rFonts w:hint="eastAsia" w:ascii="仿宋_GB2312" w:hAnsi="仿宋_GB2312" w:eastAsia="仿宋_GB2312" w:cs="仿宋_GB2312"/>
          <w:spacing w:val="-10"/>
          <w:sz w:val="32"/>
          <w:szCs w:val="32"/>
        </w:rPr>
        <w:t>《确认表》）上签注“已回收机具及铭牌”字样。</w:t>
      </w:r>
      <w:r>
        <w:rPr>
          <w:rFonts w:hint="eastAsia" w:ascii="仿宋_GB2312" w:hAnsi="仿宋_GB2312" w:eastAsia="仿宋_GB2312" w:cs="仿宋_GB2312"/>
          <w:spacing w:val="1"/>
          <w:sz w:val="32"/>
          <w:szCs w:val="32"/>
        </w:rPr>
        <w:t>对无牌证的拖拉机、联合收割机和未纳入牌证管理的农机，机主提供机具来源、归属等书面承诺复印件（含购买原始发票或</w:t>
      </w:r>
      <w:r>
        <w:rPr>
          <w:rFonts w:hint="eastAsia" w:ascii="仿宋_GB2312" w:hAnsi="仿宋_GB2312" w:eastAsia="仿宋_GB2312" w:cs="仿宋_GB2312"/>
          <w:spacing w:val="-5"/>
          <w:sz w:val="32"/>
          <w:szCs w:val="32"/>
        </w:rPr>
        <w:t>企业销售存根复印件</w:t>
      </w:r>
      <w:r>
        <w:rPr>
          <w:rFonts w:hint="eastAsia" w:ascii="仿宋_GB2312" w:hAnsi="仿宋_GB2312" w:eastAsia="仿宋_GB2312" w:cs="仿宋_GB2312"/>
          <w:spacing w:val="-53"/>
          <w:sz w:val="32"/>
          <w:szCs w:val="32"/>
        </w:rPr>
        <w:t>），</w:t>
      </w:r>
      <w:r>
        <w:rPr>
          <w:rFonts w:hint="eastAsia" w:ascii="仿宋_GB2312" w:hAnsi="仿宋_GB2312" w:eastAsia="仿宋_GB2312" w:cs="仿宋_GB2312"/>
          <w:spacing w:val="-5"/>
          <w:sz w:val="32"/>
          <w:szCs w:val="32"/>
        </w:rPr>
        <w:t>由回收企业收回机具铭牌，在《确认表》</w:t>
      </w:r>
      <w:r>
        <w:rPr>
          <w:rFonts w:hint="eastAsia" w:ascii="仿宋_GB2312" w:hAnsi="仿宋_GB2312" w:eastAsia="仿宋_GB2312" w:cs="仿宋_GB2312"/>
          <w:spacing w:val="-2"/>
          <w:sz w:val="32"/>
          <w:szCs w:val="32"/>
        </w:rPr>
        <w:t>上签注“已收到机主书面承诺复印件，并回收机</w:t>
      </w:r>
      <w:r>
        <w:rPr>
          <w:rFonts w:hint="eastAsia" w:ascii="仿宋_GB2312" w:hAnsi="仿宋_GB2312" w:eastAsia="仿宋_GB2312" w:cs="仿宋_GB2312"/>
          <w:spacing w:val="-3"/>
          <w:sz w:val="32"/>
          <w:szCs w:val="32"/>
        </w:rPr>
        <w:t>具及铭牌”字样。</w:t>
      </w:r>
      <w:r>
        <w:rPr>
          <w:rFonts w:hint="eastAsia" w:ascii="仿宋_GB2312" w:hAnsi="仿宋_GB2312" w:eastAsia="仿宋_GB2312" w:cs="仿宋_GB2312"/>
          <w:sz w:val="32"/>
          <w:szCs w:val="32"/>
        </w:rPr>
        <w:t>对未达报废年限但安全隐患大、故障发生率高、损毁严重、</w:t>
      </w:r>
      <w:r>
        <w:rPr>
          <w:rFonts w:hint="eastAsia" w:ascii="仿宋_GB2312" w:hAnsi="仿宋_GB2312" w:eastAsia="仿宋_GB2312" w:cs="仿宋_GB2312"/>
          <w:spacing w:val="1"/>
          <w:sz w:val="32"/>
          <w:szCs w:val="32"/>
        </w:rPr>
        <w:t>维修成本高的农机，机主提供书面提前报废申请复印件，由回收</w:t>
      </w:r>
      <w:r>
        <w:rPr>
          <w:rFonts w:hint="eastAsia" w:ascii="仿宋_GB2312" w:hAnsi="仿宋_GB2312" w:eastAsia="仿宋_GB2312" w:cs="仿宋_GB2312"/>
          <w:spacing w:val="-3"/>
          <w:sz w:val="32"/>
          <w:szCs w:val="32"/>
        </w:rPr>
        <w:t>企业收回机具铭牌，在《确认表》上签注“已</w:t>
      </w:r>
      <w:r>
        <w:rPr>
          <w:rFonts w:hint="eastAsia" w:ascii="仿宋_GB2312" w:hAnsi="仿宋_GB2312" w:eastAsia="仿宋_GB2312" w:cs="仿宋_GB2312"/>
          <w:spacing w:val="-4"/>
          <w:sz w:val="32"/>
          <w:szCs w:val="32"/>
        </w:rPr>
        <w:t>收到机主书面提前报</w:t>
      </w:r>
      <w:r>
        <w:rPr>
          <w:rFonts w:hint="eastAsia" w:ascii="仿宋_GB2312" w:hAnsi="仿宋_GB2312" w:eastAsia="仿宋_GB2312" w:cs="仿宋_GB2312"/>
          <w:spacing w:val="-3"/>
          <w:sz w:val="32"/>
          <w:szCs w:val="32"/>
        </w:rPr>
        <w:t>废申请复印件，并回收机具及铭牌”字样。回收企业向机主出具《确认表》。</w:t>
      </w:r>
    </w:p>
    <w:p w14:paraId="7A8723FD">
      <w:pPr>
        <w:keepNext w:val="0"/>
        <w:keepLines w:val="0"/>
        <w:pageBreakBefore w:val="0"/>
        <w:widowControl w:val="0"/>
        <w:kinsoku/>
        <w:wordWrap/>
        <w:overflowPunct/>
        <w:topLinePunct w:val="0"/>
        <w:autoSpaceDE/>
        <w:autoSpaceDN/>
        <w:bidi w:val="0"/>
        <w:adjustRightInd/>
        <w:snapToGrid/>
        <w:spacing w:line="560" w:lineRule="exact"/>
        <w:ind w:left="24" w:firstLine="628"/>
        <w:textAlignment w:val="auto"/>
        <w:rPr>
          <w:rFonts w:hint="eastAsia"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1"/>
          <w:sz w:val="32"/>
          <w:szCs w:val="32"/>
        </w:rPr>
        <w:t>4.</w:t>
      </w:r>
      <w:r>
        <w:rPr>
          <w:rFonts w:hint="eastAsia" w:ascii="仿宋_GB2312" w:hAnsi="仿宋_GB2312" w:eastAsia="仿宋_GB2312" w:cs="仿宋_GB2312"/>
          <w:spacing w:val="4"/>
          <w:sz w:val="32"/>
          <w:szCs w:val="32"/>
        </w:rPr>
        <w:t xml:space="preserve"> </w:t>
      </w:r>
      <w:r>
        <w:rPr>
          <w:rFonts w:hint="eastAsia" w:ascii="仿宋_GB2312" w:hAnsi="仿宋_GB2312" w:eastAsia="仿宋_GB2312" w:cs="仿宋_GB2312"/>
          <w:spacing w:val="1"/>
          <w:sz w:val="32"/>
          <w:szCs w:val="32"/>
        </w:rPr>
        <w:t>回收企业及时对回收的农机进行拆解并建立档案，对国家</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pacing w:val="1"/>
          <w:sz w:val="32"/>
          <w:szCs w:val="32"/>
        </w:rPr>
        <w:t>禁止生产销售的发动机等部件进行破坏性处理，拆解档案应当包</w:t>
      </w:r>
      <w:r>
        <w:rPr>
          <w:rFonts w:hint="eastAsia" w:ascii="仿宋_GB2312" w:hAnsi="仿宋_GB2312" w:eastAsia="仿宋_GB2312" w:cs="仿宋_GB2312"/>
          <w:spacing w:val="-7"/>
          <w:sz w:val="32"/>
          <w:szCs w:val="32"/>
        </w:rPr>
        <w:t>括铭牌和其它能体现农机身份的原始资料、照片、拓印、视频等，</w:t>
      </w:r>
      <w:r>
        <w:rPr>
          <w:rFonts w:hint="eastAsia" w:ascii="仿宋_GB2312" w:hAnsi="仿宋_GB2312" w:eastAsia="仿宋_GB2312" w:cs="仿宋_GB2312"/>
          <w:spacing w:val="-6"/>
          <w:sz w:val="32"/>
          <w:szCs w:val="32"/>
        </w:rPr>
        <w:t>保存期不少于</w:t>
      </w:r>
      <w:r>
        <w:rPr>
          <w:rFonts w:hint="eastAsia" w:ascii="仿宋_GB2312" w:hAnsi="仿宋_GB2312" w:eastAsia="仿宋_GB2312" w:cs="仿宋_GB2312"/>
          <w:spacing w:val="-74"/>
          <w:sz w:val="32"/>
          <w:szCs w:val="32"/>
        </w:rPr>
        <w:t xml:space="preserve"> </w:t>
      </w:r>
      <w:r>
        <w:rPr>
          <w:rFonts w:hint="eastAsia" w:ascii="仿宋_GB2312" w:hAnsi="仿宋_GB2312" w:eastAsia="仿宋_GB2312" w:cs="仿宋_GB2312"/>
          <w:spacing w:val="-6"/>
          <w:sz w:val="32"/>
          <w:szCs w:val="32"/>
        </w:rPr>
        <w:t>3年。</w:t>
      </w:r>
    </w:p>
    <w:p w14:paraId="4D1A902C">
      <w:pPr>
        <w:keepNext w:val="0"/>
        <w:keepLines w:val="0"/>
        <w:pageBreakBefore w:val="0"/>
        <w:widowControl w:val="0"/>
        <w:kinsoku/>
        <w:wordWrap/>
        <w:overflowPunct/>
        <w:topLinePunct w:val="0"/>
        <w:autoSpaceDE/>
        <w:autoSpaceDN/>
        <w:bidi w:val="0"/>
        <w:adjustRightInd/>
        <w:snapToGrid/>
        <w:spacing w:line="560" w:lineRule="exact"/>
        <w:ind w:left="673"/>
        <w:textAlignment w:val="auto"/>
        <w:rPr>
          <w:rFonts w:hint="eastAsia" w:ascii="楷体" w:hAnsi="楷体" w:eastAsia="楷体" w:cs="楷体"/>
          <w:sz w:val="32"/>
          <w:szCs w:val="32"/>
        </w:rPr>
      </w:pPr>
      <w:r>
        <w:rPr>
          <w:rFonts w:hint="eastAsia" w:ascii="楷体" w:hAnsi="楷体" w:eastAsia="楷体" w:cs="楷体"/>
          <w:spacing w:val="5"/>
          <w:sz w:val="32"/>
          <w:szCs w:val="32"/>
        </w:rPr>
        <w:t>（二）注销登记。</w:t>
      </w:r>
    </w:p>
    <w:p w14:paraId="79DDA0F7">
      <w:pPr>
        <w:keepNext w:val="0"/>
        <w:keepLines w:val="0"/>
        <w:pageBreakBefore w:val="0"/>
        <w:widowControl w:val="0"/>
        <w:kinsoku/>
        <w:wordWrap/>
        <w:overflowPunct/>
        <w:topLinePunct w:val="0"/>
        <w:autoSpaceDE/>
        <w:autoSpaceDN/>
        <w:bidi w:val="0"/>
        <w:adjustRightInd/>
        <w:snapToGrid/>
        <w:spacing w:line="560" w:lineRule="exact"/>
        <w:ind w:left="22" w:right="95" w:firstLine="658"/>
        <w:textAlignment w:val="auto"/>
        <w:rPr>
          <w:rFonts w:hint="eastAsia" w:ascii="仿宋_GB2312" w:hAnsi="仿宋_GB2312" w:eastAsia="仿宋_GB2312" w:cs="仿宋_GB2312"/>
          <w:sz w:val="32"/>
          <w:szCs w:val="32"/>
        </w:rPr>
      </w:pPr>
      <w:r>
        <w:rPr>
          <w:rFonts w:hint="eastAsia" w:ascii="仿宋_GB2312" w:hAnsi="仿宋_GB2312" w:eastAsia="仿宋_GB2312" w:cs="仿宋_GB2312"/>
          <w:spacing w:val="2"/>
          <w:sz w:val="32"/>
          <w:szCs w:val="32"/>
        </w:rPr>
        <w:t>1.注册登记的拖拉机、联合收割机机主持《确认表》和相关</w:t>
      </w:r>
      <w:r>
        <w:rPr>
          <w:rFonts w:hint="eastAsia" w:ascii="仿宋_GB2312" w:hAnsi="仿宋_GB2312" w:eastAsia="仿宋_GB2312" w:cs="仿宋_GB2312"/>
          <w:spacing w:val="12"/>
          <w:sz w:val="32"/>
          <w:szCs w:val="32"/>
        </w:rPr>
        <w:t>证照，到县级农机安全监理机构或其他负责农机牌证管理的机</w:t>
      </w:r>
      <w:r>
        <w:rPr>
          <w:rFonts w:hint="eastAsia" w:ascii="仿宋_GB2312" w:hAnsi="仿宋_GB2312" w:eastAsia="仿宋_GB2312" w:cs="仿宋_GB2312"/>
          <w:spacing w:val="15"/>
          <w:sz w:val="32"/>
          <w:szCs w:val="32"/>
        </w:rPr>
        <w:t xml:space="preserve"> </w:t>
      </w:r>
      <w:r>
        <w:rPr>
          <w:rFonts w:hint="eastAsia" w:ascii="仿宋_GB2312" w:hAnsi="仿宋_GB2312" w:eastAsia="仿宋_GB2312" w:cs="仿宋_GB2312"/>
          <w:spacing w:val="7"/>
          <w:sz w:val="32"/>
          <w:szCs w:val="32"/>
        </w:rPr>
        <w:t>构依法办理牌证注销手续。</w:t>
      </w:r>
    </w:p>
    <w:p w14:paraId="69F5A56E">
      <w:pPr>
        <w:keepNext w:val="0"/>
        <w:keepLines w:val="0"/>
        <w:pageBreakBefore w:val="0"/>
        <w:widowControl w:val="0"/>
        <w:kinsoku/>
        <w:wordWrap/>
        <w:overflowPunct/>
        <w:topLinePunct w:val="0"/>
        <w:autoSpaceDE/>
        <w:autoSpaceDN/>
        <w:bidi w:val="0"/>
        <w:adjustRightInd/>
        <w:snapToGrid/>
        <w:spacing w:line="560" w:lineRule="exact"/>
        <w:ind w:left="0" w:firstLine="612" w:firstLineChars="200"/>
        <w:textAlignment w:val="auto"/>
        <w:rPr>
          <w:rFonts w:hint="eastAsia" w:ascii="仿宋_GB2312" w:hAnsi="仿宋_GB2312" w:eastAsia="仿宋_GB2312" w:cs="仿宋_GB2312"/>
          <w:spacing w:val="-12"/>
          <w:sz w:val="32"/>
          <w:szCs w:val="32"/>
        </w:rPr>
      </w:pPr>
      <w:r>
        <w:rPr>
          <w:rFonts w:hint="eastAsia" w:ascii="仿宋_GB2312" w:hAnsi="仿宋_GB2312" w:eastAsia="仿宋_GB2312" w:cs="仿宋_GB2312"/>
          <w:spacing w:val="-7"/>
          <w:sz w:val="32"/>
          <w:szCs w:val="32"/>
        </w:rPr>
        <w:t>2.相关机构核对机主和报废拖拉机、联合收割机信息后，按照</w:t>
      </w:r>
      <w:r>
        <w:rPr>
          <w:rFonts w:hint="eastAsia" w:ascii="仿宋_GB2312" w:hAnsi="仿宋_GB2312" w:eastAsia="仿宋_GB2312" w:cs="仿宋_GB2312"/>
          <w:spacing w:val="-11"/>
          <w:sz w:val="32"/>
          <w:szCs w:val="32"/>
        </w:rPr>
        <w:t>规定办理注销登记，在《确认表》上签注“已办理注</w:t>
      </w:r>
      <w:r>
        <w:rPr>
          <w:rFonts w:hint="eastAsia" w:ascii="仿宋_GB2312" w:hAnsi="仿宋_GB2312" w:eastAsia="仿宋_GB2312" w:cs="仿宋_GB2312"/>
          <w:spacing w:val="-12"/>
          <w:sz w:val="32"/>
          <w:szCs w:val="32"/>
        </w:rPr>
        <w:t>销登记”字样。</w:t>
      </w:r>
    </w:p>
    <w:p w14:paraId="168665A3">
      <w:pPr>
        <w:keepNext w:val="0"/>
        <w:keepLines w:val="0"/>
        <w:pageBreakBefore w:val="0"/>
        <w:widowControl w:val="0"/>
        <w:kinsoku/>
        <w:wordWrap/>
        <w:overflowPunct/>
        <w:topLinePunct w:val="0"/>
        <w:autoSpaceDE/>
        <w:autoSpaceDN/>
        <w:bidi w:val="0"/>
        <w:adjustRightInd/>
        <w:snapToGrid/>
        <w:spacing w:line="560" w:lineRule="exact"/>
        <w:ind w:left="646"/>
        <w:textAlignment w:val="auto"/>
        <w:rPr>
          <w:rFonts w:hint="eastAsia" w:ascii="楷体" w:hAnsi="楷体" w:eastAsia="楷体" w:cs="楷体"/>
          <w:sz w:val="32"/>
          <w:szCs w:val="32"/>
        </w:rPr>
      </w:pPr>
      <w:r>
        <w:rPr>
          <w:rFonts w:hint="eastAsia" w:ascii="楷体" w:hAnsi="楷体" w:eastAsia="楷体" w:cs="楷体"/>
          <w:spacing w:val="5"/>
          <w:sz w:val="32"/>
          <w:szCs w:val="32"/>
        </w:rPr>
        <w:t>（三）兑现补贴。</w:t>
      </w:r>
    </w:p>
    <w:p w14:paraId="53B6E2B1">
      <w:pPr>
        <w:keepNext w:val="0"/>
        <w:keepLines w:val="0"/>
        <w:pageBreakBefore w:val="0"/>
        <w:widowControl w:val="0"/>
        <w:kinsoku/>
        <w:wordWrap/>
        <w:overflowPunct/>
        <w:topLinePunct w:val="0"/>
        <w:autoSpaceDE/>
        <w:autoSpaceDN/>
        <w:bidi w:val="0"/>
        <w:adjustRightInd/>
        <w:snapToGrid/>
        <w:spacing w:line="560" w:lineRule="exact"/>
        <w:ind w:right="98" w:firstLine="662"/>
        <w:textAlignment w:val="auto"/>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spacing w:val="3"/>
          <w:sz w:val="32"/>
          <w:szCs w:val="32"/>
        </w:rPr>
        <w:t>1.机主持有效的《确认表》和书面承诺原件（含</w:t>
      </w:r>
      <w:r>
        <w:rPr>
          <w:rFonts w:hint="eastAsia" w:ascii="仿宋_GB2312" w:hAnsi="仿宋_GB2312" w:eastAsia="仿宋_GB2312" w:cs="仿宋_GB2312"/>
          <w:spacing w:val="2"/>
          <w:sz w:val="32"/>
          <w:szCs w:val="32"/>
        </w:rPr>
        <w:t>购买原始发</w:t>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spacing w:val="-4"/>
          <w:sz w:val="32"/>
          <w:szCs w:val="32"/>
        </w:rPr>
        <w:t>票或企业销售存根</w:t>
      </w:r>
      <w:r>
        <w:rPr>
          <w:rFonts w:hint="eastAsia" w:ascii="仿宋_GB2312" w:hAnsi="仿宋_GB2312" w:eastAsia="仿宋_GB2312" w:cs="仿宋_GB2312"/>
          <w:color w:val="000000" w:themeColor="text1"/>
          <w:spacing w:val="-4"/>
          <w:sz w:val="32"/>
          <w:szCs w:val="32"/>
          <w14:textFill>
            <w14:solidFill>
              <w14:schemeClr w14:val="tx1"/>
            </w14:solidFill>
          </w14:textFill>
        </w:rPr>
        <w:t>复印件，注册登记的不提供书面承诺</w:t>
      </w:r>
      <w:r>
        <w:rPr>
          <w:rFonts w:hint="eastAsia" w:ascii="仿宋_GB2312" w:hAnsi="仿宋_GB2312" w:eastAsia="仿宋_GB2312" w:cs="仿宋_GB2312"/>
          <w:color w:val="000000" w:themeColor="text1"/>
          <w:spacing w:val="-79"/>
          <w:sz w:val="32"/>
          <w:szCs w:val="32"/>
          <w14:textFill>
            <w14:solidFill>
              <w14:schemeClr w14:val="tx1"/>
            </w14:solidFill>
          </w14:textFill>
        </w:rPr>
        <w:t>），</w:t>
      </w:r>
      <w:r>
        <w:rPr>
          <w:rFonts w:hint="eastAsia" w:ascii="仿宋_GB2312" w:hAnsi="仿宋_GB2312" w:eastAsia="仿宋_GB2312" w:cs="仿宋_GB2312"/>
          <w:color w:val="000000" w:themeColor="text1"/>
          <w:spacing w:val="-4"/>
          <w:sz w:val="32"/>
          <w:szCs w:val="32"/>
          <w14:textFill>
            <w14:solidFill>
              <w14:schemeClr w14:val="tx1"/>
            </w14:solidFill>
          </w14:textFill>
        </w:rPr>
        <w:t>按相关</w:t>
      </w:r>
      <w:r>
        <w:rPr>
          <w:rFonts w:hint="eastAsia" w:ascii="仿宋_GB2312" w:hAnsi="仿宋_GB2312" w:eastAsia="仿宋_GB2312" w:cs="仿宋_GB2312"/>
          <w:color w:val="000000" w:themeColor="text1"/>
          <w:sz w:val="32"/>
          <w:szCs w:val="32"/>
          <w14:textFill>
            <w14:solidFill>
              <w14:schemeClr w14:val="tx1"/>
            </w14:solidFill>
          </w14:textFill>
        </w:rPr>
        <w:t xml:space="preserve"> </w:t>
      </w:r>
      <w:r>
        <w:rPr>
          <w:rFonts w:hint="eastAsia" w:ascii="仿宋_GB2312" w:hAnsi="仿宋_GB2312" w:eastAsia="仿宋_GB2312" w:cs="仿宋_GB2312"/>
          <w:color w:val="000000" w:themeColor="text1"/>
          <w:spacing w:val="1"/>
          <w:sz w:val="32"/>
          <w:szCs w:val="32"/>
          <w14:textFill>
            <w14:solidFill>
              <w14:schemeClr w14:val="tx1"/>
            </w14:solidFill>
          </w14:textFill>
        </w:rPr>
        <w:t>规定到</w:t>
      </w:r>
      <w:r>
        <w:rPr>
          <w:rFonts w:hint="eastAsia" w:ascii="仿宋_GB2312" w:hAnsi="仿宋_GB2312" w:eastAsia="仿宋_GB2312" w:cs="仿宋_GB2312"/>
          <w:color w:val="000000" w:themeColor="text1"/>
          <w:spacing w:val="1"/>
          <w:sz w:val="32"/>
          <w:szCs w:val="32"/>
          <w:lang w:val="en-US" w:eastAsia="zh-CN"/>
          <w14:textFill>
            <w14:solidFill>
              <w14:schemeClr w14:val="tx1"/>
            </w14:solidFill>
          </w14:textFill>
        </w:rPr>
        <w:t>街镇</w:t>
      </w:r>
      <w:r>
        <w:rPr>
          <w:rFonts w:hint="eastAsia" w:ascii="仿宋_GB2312" w:hAnsi="仿宋_GB2312" w:eastAsia="仿宋_GB2312" w:cs="仿宋_GB2312"/>
          <w:color w:val="000000" w:themeColor="text1"/>
          <w:spacing w:val="1"/>
          <w:sz w:val="32"/>
          <w:szCs w:val="32"/>
          <w14:textFill>
            <w14:solidFill>
              <w14:schemeClr w14:val="tx1"/>
            </w14:solidFill>
          </w14:textFill>
        </w:rPr>
        <w:t>农业农村、财政部门申请办理补贴手续。对未达报废</w:t>
      </w:r>
      <w:r>
        <w:rPr>
          <w:rFonts w:hint="eastAsia" w:ascii="仿宋_GB2312" w:hAnsi="仿宋_GB2312" w:eastAsia="仿宋_GB2312" w:cs="仿宋_GB2312"/>
          <w:color w:val="000000" w:themeColor="text1"/>
          <w:spacing w:val="-3"/>
          <w:sz w:val="32"/>
          <w:szCs w:val="32"/>
          <w14:textFill>
            <w14:solidFill>
              <w14:schemeClr w14:val="tx1"/>
            </w14:solidFill>
          </w14:textFill>
        </w:rPr>
        <w:t>年限的农机，机主应当提供书面提前报废申请原件。</w:t>
      </w:r>
    </w:p>
    <w:p w14:paraId="4CF3C5ED">
      <w:pPr>
        <w:keepNext w:val="0"/>
        <w:keepLines w:val="0"/>
        <w:pageBreakBefore w:val="0"/>
        <w:widowControl w:val="0"/>
        <w:kinsoku/>
        <w:wordWrap/>
        <w:overflowPunct/>
        <w:topLinePunct w:val="0"/>
        <w:autoSpaceDE/>
        <w:autoSpaceDN/>
        <w:bidi w:val="0"/>
        <w:adjustRightInd/>
        <w:snapToGrid/>
        <w:spacing w:line="560" w:lineRule="exact"/>
        <w:ind w:left="3" w:right="7" w:firstLine="623"/>
        <w:textAlignment w:val="auto"/>
        <w:rPr>
          <w:rFonts w:hint="eastAsia" w:ascii="仿宋_GB2312" w:hAnsi="仿宋_GB2312" w:eastAsia="仿宋_GB2312" w:cs="仿宋_GB2312"/>
          <w:color w:val="000000" w:themeColor="text1"/>
          <w:spacing w:val="8"/>
          <w:sz w:val="32"/>
          <w:szCs w:val="32"/>
          <w14:textFill>
            <w14:solidFill>
              <w14:schemeClr w14:val="tx1"/>
            </w14:solidFill>
          </w14:textFill>
        </w:rPr>
      </w:pPr>
      <w:r>
        <w:rPr>
          <w:rFonts w:hint="eastAsia" w:ascii="仿宋_GB2312" w:hAnsi="仿宋_GB2312" w:eastAsia="仿宋_GB2312" w:cs="仿宋_GB2312"/>
          <w:color w:val="000000" w:themeColor="text1"/>
          <w:spacing w:val="-6"/>
          <w:sz w:val="32"/>
          <w:szCs w:val="32"/>
          <w14:textFill>
            <w14:solidFill>
              <w14:schemeClr w14:val="tx1"/>
            </w14:solidFill>
          </w14:textFill>
        </w:rPr>
        <w:t>2.</w:t>
      </w:r>
      <w:r>
        <w:rPr>
          <w:rFonts w:hint="eastAsia" w:ascii="仿宋_GB2312" w:hAnsi="仿宋_GB2312" w:eastAsia="仿宋_GB2312" w:cs="仿宋_GB2312"/>
          <w:color w:val="000000" w:themeColor="text1"/>
          <w:spacing w:val="-15"/>
          <w:sz w:val="32"/>
          <w:szCs w:val="32"/>
          <w14:textFill>
            <w14:solidFill>
              <w14:schemeClr w14:val="tx1"/>
            </w14:solidFill>
          </w14:textFill>
        </w:rPr>
        <w:t xml:space="preserve"> </w:t>
      </w:r>
      <w:r>
        <w:rPr>
          <w:rFonts w:hint="eastAsia" w:ascii="仿宋_GB2312" w:hAnsi="仿宋_GB2312" w:eastAsia="仿宋_GB2312" w:cs="仿宋_GB2312"/>
          <w:color w:val="000000" w:themeColor="text1"/>
          <w:spacing w:val="-15"/>
          <w:sz w:val="32"/>
          <w:szCs w:val="32"/>
          <w:lang w:val="en-US" w:eastAsia="zh-CN"/>
          <w14:textFill>
            <w14:solidFill>
              <w14:schemeClr w14:val="tx1"/>
            </w14:solidFill>
          </w14:textFill>
        </w:rPr>
        <w:t>区</w:t>
      </w:r>
      <w:r>
        <w:rPr>
          <w:rFonts w:hint="eastAsia" w:ascii="仿宋_GB2312" w:hAnsi="仿宋_GB2312" w:eastAsia="仿宋_GB2312" w:cs="仿宋_GB2312"/>
          <w:color w:val="000000" w:themeColor="text1"/>
          <w:spacing w:val="-6"/>
          <w:sz w:val="32"/>
          <w:szCs w:val="32"/>
          <w14:textFill>
            <w14:solidFill>
              <w14:schemeClr w14:val="tx1"/>
            </w14:solidFill>
          </w14:textFill>
        </w:rPr>
        <w:t>农业农村、财政部门按职责分工进行审核、公示、</w:t>
      </w:r>
      <w:r>
        <w:rPr>
          <w:rFonts w:hint="eastAsia" w:ascii="仿宋_GB2312" w:hAnsi="仿宋_GB2312" w:eastAsia="仿宋_GB2312" w:cs="仿宋_GB2312"/>
          <w:color w:val="000000" w:themeColor="text1"/>
          <w:spacing w:val="8"/>
          <w:sz w:val="32"/>
          <w:szCs w:val="32"/>
          <w14:textFill>
            <w14:solidFill>
              <w14:schemeClr w14:val="tx1"/>
            </w14:solidFill>
          </w14:textFill>
        </w:rPr>
        <w:t>相互衔接，财政部门按规定向符合要求的机主兑现补贴资金。</w:t>
      </w:r>
    </w:p>
    <w:p w14:paraId="3A6C044A">
      <w:pPr>
        <w:keepNext w:val="0"/>
        <w:keepLines w:val="0"/>
        <w:pageBreakBefore w:val="0"/>
        <w:widowControl w:val="0"/>
        <w:kinsoku/>
        <w:wordWrap/>
        <w:overflowPunct/>
        <w:topLinePunct w:val="0"/>
        <w:autoSpaceDE/>
        <w:autoSpaceDN/>
        <w:bidi w:val="0"/>
        <w:adjustRightInd/>
        <w:snapToGrid/>
        <w:spacing w:line="560" w:lineRule="exact"/>
        <w:ind w:right="7"/>
        <w:textAlignment w:val="auto"/>
        <w:rPr>
          <w:rFonts w:hint="eastAsia" w:ascii="方正小标宋_GBK" w:hAnsi="方正小标宋_GBK" w:eastAsia="方正小标宋_GBK" w:cs="方正小标宋_GBK"/>
          <w:color w:val="000000" w:themeColor="text1"/>
          <w:spacing w:val="8"/>
          <w:sz w:val="44"/>
          <w:szCs w:val="44"/>
          <w:lang w:val="en-US" w:eastAsia="zh-CN"/>
          <w14:textFill>
            <w14:solidFill>
              <w14:schemeClr w14:val="tx1"/>
            </w14:solidFill>
          </w14:textFill>
        </w:rPr>
        <w:sectPr>
          <w:footerReference r:id="rId3" w:type="default"/>
          <w:pgSz w:w="11906" w:h="16839"/>
          <w:pgMar w:top="1431" w:right="1491" w:bottom="1567" w:left="1607" w:header="0" w:footer="1318" w:gutter="0"/>
          <w:pgNumType w:fmt="decimal"/>
          <w:cols w:space="720" w:num="1"/>
        </w:sectPr>
      </w:pPr>
    </w:p>
    <w:p w14:paraId="49CA6752">
      <w:pPr>
        <w:keepNext w:val="0"/>
        <w:keepLines w:val="0"/>
        <w:pageBreakBefore w:val="0"/>
        <w:widowControl w:val="0"/>
        <w:kinsoku/>
        <w:wordWrap/>
        <w:overflowPunct/>
        <w:topLinePunct w:val="0"/>
        <w:autoSpaceDE/>
        <w:autoSpaceDN/>
        <w:bidi w:val="0"/>
        <w:adjustRightInd/>
        <w:snapToGrid/>
        <w:spacing w:line="560" w:lineRule="exact"/>
        <w:ind w:right="7"/>
        <w:jc w:val="center"/>
        <w:textAlignment w:val="auto"/>
        <w:rPr>
          <w:rFonts w:hint="eastAsia" w:ascii="黑体" w:hAnsi="黑体" w:eastAsia="黑体" w:cs="黑体"/>
          <w:sz w:val="32"/>
          <w:szCs w:val="32"/>
          <w:lang w:val="en-US" w:eastAsia="zh-CN"/>
        </w:rPr>
      </w:pPr>
      <w:r>
        <w:rPr>
          <w:rFonts w:hint="eastAsia" w:ascii="黑体" w:hAnsi="黑体" w:eastAsia="黑体" w:cs="黑体"/>
          <w:color w:val="000000" w:themeColor="text1"/>
          <w:spacing w:val="8"/>
          <w:sz w:val="32"/>
          <w:szCs w:val="32"/>
          <w:lang w:val="en-US" w:eastAsia="zh-CN"/>
          <w14:textFill>
            <w14:solidFill>
              <w14:schemeClr w14:val="tx1"/>
            </w14:solidFill>
          </w14:textFill>
        </w:rPr>
        <w:t>附件2：六合区农机报废更新管理制度</w:t>
      </w:r>
    </w:p>
    <w:p w14:paraId="39761C47">
      <w:pPr>
        <w:keepNext w:val="0"/>
        <w:keepLines w:val="0"/>
        <w:pageBreakBefore w:val="0"/>
        <w:widowControl w:val="0"/>
        <w:kinsoku/>
        <w:wordWrap/>
        <w:overflowPunct/>
        <w:topLinePunct w:val="0"/>
        <w:autoSpaceDE/>
        <w:autoSpaceDN/>
        <w:bidi w:val="0"/>
        <w:adjustRightInd/>
        <w:snapToGrid/>
        <w:spacing w:before="9" w:line="560" w:lineRule="exact"/>
        <w:ind w:firstLine="720"/>
        <w:jc w:val="both"/>
        <w:textAlignment w:val="auto"/>
        <w:rPr>
          <w:rFonts w:hint="default" w:ascii="黑体" w:hAnsi="黑体" w:eastAsia="黑体" w:cs="黑体"/>
          <w:b w:val="0"/>
          <w:bCs/>
          <w:sz w:val="32"/>
          <w:szCs w:val="32"/>
          <w:lang w:val="en-US" w:eastAsia="zh-CN"/>
        </w:rPr>
      </w:pPr>
      <w:r>
        <w:rPr>
          <w:rFonts w:hint="eastAsia" w:ascii="黑体" w:hAnsi="黑体" w:eastAsia="黑体" w:cs="黑体"/>
          <w:b w:val="0"/>
          <w:bCs/>
          <w:color w:val="000000"/>
          <w:sz w:val="32"/>
          <w:szCs w:val="32"/>
          <w:lang w:val="en-US" w:eastAsia="zh-CN"/>
        </w:rPr>
        <w:t>一、报废农机管理制度</w:t>
      </w:r>
    </w:p>
    <w:p w14:paraId="2CF393B3">
      <w:pPr>
        <w:keepNext w:val="0"/>
        <w:keepLines w:val="0"/>
        <w:pageBreakBefore w:val="0"/>
        <w:widowControl w:val="0"/>
        <w:kinsoku/>
        <w:wordWrap/>
        <w:overflowPunct/>
        <w:topLinePunct w:val="0"/>
        <w:autoSpaceDE/>
        <w:autoSpaceDN/>
        <w:bidi w:val="0"/>
        <w:adjustRightInd/>
        <w:snapToGrid/>
        <w:spacing w:line="560" w:lineRule="exact"/>
        <w:ind w:left="40" w:right="120" w:firstLine="62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lang w:val="en-US" w:eastAsia="zh-CN"/>
        </w:rPr>
        <w:t>农机报废更新风险防控主要是对无牌证和未纳入牌证管理的农机制定的风险防控办法。</w:t>
      </w:r>
      <w:r>
        <w:rPr>
          <w:rFonts w:hint="eastAsia" w:ascii="仿宋_GB2312" w:hAnsi="仿宋_GB2312" w:eastAsia="仿宋_GB2312" w:cs="仿宋_GB2312"/>
          <w:color w:val="000000"/>
          <w:sz w:val="32"/>
          <w:szCs w:val="32"/>
        </w:rPr>
        <w:t>对工作方案中未明确的事宜，由六合区农业农村局进行解释和说明。</w:t>
      </w:r>
    </w:p>
    <w:p w14:paraId="73EB49DA">
      <w:pPr>
        <w:keepNext w:val="0"/>
        <w:keepLines w:val="0"/>
        <w:pageBreakBefore w:val="0"/>
        <w:widowControl w:val="0"/>
        <w:kinsoku/>
        <w:wordWrap/>
        <w:overflowPunct/>
        <w:topLinePunct w:val="0"/>
        <w:autoSpaceDE/>
        <w:autoSpaceDN/>
        <w:bidi w:val="0"/>
        <w:adjustRightInd/>
        <w:snapToGrid/>
        <w:spacing w:line="560" w:lineRule="exact"/>
        <w:ind w:left="20" w:right="60" w:firstLine="600"/>
        <w:jc w:val="both"/>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风险防控办法</w:t>
      </w:r>
      <w:r>
        <w:rPr>
          <w:rFonts w:hint="eastAsia" w:ascii="仿宋_GB2312" w:hAnsi="仿宋_GB2312" w:eastAsia="仿宋_GB2312" w:cs="仿宋_GB2312"/>
          <w:color w:val="000000"/>
          <w:sz w:val="32"/>
          <w:szCs w:val="32"/>
        </w:rPr>
        <w:t>立足</w:t>
      </w:r>
      <w:r>
        <w:rPr>
          <w:rFonts w:hint="eastAsia" w:ascii="仿宋_GB2312" w:hAnsi="仿宋_GB2312" w:eastAsia="仿宋_GB2312" w:cs="仿宋_GB2312"/>
          <w:color w:val="000000"/>
          <w:sz w:val="32"/>
          <w:szCs w:val="32"/>
          <w:lang w:val="en-US" w:eastAsia="zh-CN"/>
        </w:rPr>
        <w:t>六合区农机报废更新</w:t>
      </w:r>
      <w:r>
        <w:rPr>
          <w:rFonts w:hint="eastAsia" w:ascii="仿宋_GB2312" w:hAnsi="仿宋_GB2312" w:eastAsia="仿宋_GB2312" w:cs="仿宋_GB2312"/>
          <w:color w:val="000000"/>
          <w:sz w:val="32"/>
          <w:szCs w:val="32"/>
        </w:rPr>
        <w:t>实施办法为基础，对</w:t>
      </w:r>
      <w:r>
        <w:rPr>
          <w:rFonts w:hint="eastAsia" w:ascii="仿宋_GB2312" w:hAnsi="仿宋_GB2312" w:eastAsia="仿宋_GB2312" w:cs="仿宋_GB2312"/>
          <w:color w:val="000000"/>
          <w:sz w:val="32"/>
          <w:szCs w:val="32"/>
          <w:lang w:val="en-US" w:eastAsia="zh-CN"/>
        </w:rPr>
        <w:t>无牌证和未纳入牌证管理的农机进行有效监督管理，</w:t>
      </w:r>
      <w:r>
        <w:rPr>
          <w:rFonts w:hint="eastAsia" w:ascii="仿宋_GB2312" w:hAnsi="仿宋_GB2312" w:eastAsia="仿宋_GB2312" w:cs="仿宋_GB2312"/>
          <w:color w:val="000000"/>
          <w:sz w:val="32"/>
          <w:szCs w:val="32"/>
        </w:rPr>
        <w:t>并就具体事项进行合规性审查，确保政策实施依法依规。</w:t>
      </w:r>
    </w:p>
    <w:p w14:paraId="5D6DE9D2">
      <w:pPr>
        <w:keepNext w:val="0"/>
        <w:keepLines w:val="0"/>
        <w:pageBreakBefore w:val="0"/>
        <w:widowControl w:val="0"/>
        <w:kinsoku/>
        <w:wordWrap/>
        <w:overflowPunct/>
        <w:topLinePunct w:val="0"/>
        <w:autoSpaceDE/>
        <w:autoSpaceDN/>
        <w:bidi w:val="0"/>
        <w:adjustRightInd/>
        <w:snapToGrid/>
        <w:spacing w:line="560" w:lineRule="exact"/>
        <w:ind w:left="20" w:right="400" w:firstLine="66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color w:val="000000"/>
          <w:sz w:val="32"/>
          <w:szCs w:val="32"/>
          <w:lang w:val="en-US" w:eastAsia="zh-CN"/>
        </w:rPr>
        <w:t>街镇</w:t>
      </w:r>
      <w:r>
        <w:rPr>
          <w:rFonts w:hint="eastAsia" w:ascii="仿宋_GB2312" w:hAnsi="仿宋_GB2312" w:eastAsia="仿宋_GB2312" w:cs="仿宋_GB2312"/>
          <w:color w:val="000000"/>
          <w:sz w:val="32"/>
          <w:szCs w:val="32"/>
        </w:rPr>
        <w:t>部门</w:t>
      </w:r>
      <w:r>
        <w:rPr>
          <w:rFonts w:hint="eastAsia" w:ascii="仿宋_GB2312" w:hAnsi="仿宋_GB2312" w:eastAsia="仿宋_GB2312" w:cs="仿宋_GB2312"/>
          <w:color w:val="000000"/>
          <w:sz w:val="32"/>
          <w:szCs w:val="32"/>
          <w:lang w:val="en-US" w:eastAsia="zh-CN"/>
        </w:rPr>
        <w:t>初步审核</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val="en-US" w:eastAsia="zh-CN"/>
        </w:rPr>
        <w:t>街镇农业农村部门具体负责人员对此类农机具来源进行审核，要求申报人员提供机具来源归属承诺书并对机具进行现场确认，对于单人多台套机具必要时可要求相关村社区提供机具来源证明盖章件。</w:t>
      </w:r>
    </w:p>
    <w:p w14:paraId="46676B77">
      <w:pPr>
        <w:keepNext w:val="0"/>
        <w:keepLines w:val="0"/>
        <w:pageBreakBefore w:val="0"/>
        <w:widowControl w:val="0"/>
        <w:kinsoku/>
        <w:wordWrap/>
        <w:overflowPunct/>
        <w:topLinePunct w:val="0"/>
        <w:autoSpaceDE/>
        <w:autoSpaceDN/>
        <w:bidi w:val="0"/>
        <w:adjustRightInd/>
        <w:snapToGrid/>
        <w:spacing w:before="9" w:line="560" w:lineRule="exact"/>
        <w:ind w:firstLine="720"/>
        <w:jc w:val="both"/>
        <w:textAlignment w:val="auto"/>
        <w:rPr>
          <w:rFonts w:hint="eastAsia" w:ascii="黑体" w:hAnsi="黑体" w:eastAsia="黑体" w:cs="黑体"/>
          <w:b w:val="0"/>
          <w:bCs/>
          <w:color w:val="000000"/>
          <w:sz w:val="32"/>
          <w:szCs w:val="32"/>
        </w:rPr>
      </w:pPr>
      <w:r>
        <w:rPr>
          <w:rFonts w:hint="eastAsia" w:ascii="黑体" w:hAnsi="黑体" w:eastAsia="黑体" w:cs="黑体"/>
          <w:b w:val="0"/>
          <w:bCs/>
          <w:color w:val="000000"/>
          <w:sz w:val="32"/>
          <w:szCs w:val="32"/>
          <w:lang w:val="en-US" w:eastAsia="zh-CN"/>
        </w:rPr>
        <w:t>二、</w:t>
      </w:r>
      <w:r>
        <w:rPr>
          <w:rFonts w:hint="eastAsia" w:ascii="黑体" w:hAnsi="黑体" w:eastAsia="黑体" w:cs="黑体"/>
          <w:b w:val="0"/>
          <w:bCs/>
          <w:color w:val="000000"/>
          <w:sz w:val="32"/>
          <w:szCs w:val="32"/>
        </w:rPr>
        <w:t>农机</w:t>
      </w:r>
      <w:r>
        <w:rPr>
          <w:rFonts w:hint="eastAsia" w:ascii="黑体" w:hAnsi="黑体" w:eastAsia="黑体" w:cs="黑体"/>
          <w:b w:val="0"/>
          <w:bCs/>
          <w:color w:val="000000"/>
          <w:sz w:val="32"/>
          <w:szCs w:val="32"/>
          <w:lang w:val="en-US" w:eastAsia="zh-CN"/>
        </w:rPr>
        <w:t>报废更新</w:t>
      </w:r>
      <w:r>
        <w:rPr>
          <w:rFonts w:hint="eastAsia" w:ascii="黑体" w:hAnsi="黑体" w:eastAsia="黑体" w:cs="黑体"/>
          <w:b w:val="0"/>
          <w:bCs/>
          <w:color w:val="000000"/>
          <w:sz w:val="32"/>
          <w:szCs w:val="32"/>
        </w:rPr>
        <w:t>工作</w:t>
      </w:r>
      <w:r>
        <w:rPr>
          <w:rFonts w:hint="eastAsia" w:ascii="黑体" w:hAnsi="黑体" w:eastAsia="黑体" w:cs="黑体"/>
          <w:b w:val="0"/>
          <w:bCs/>
          <w:color w:val="000000"/>
          <w:sz w:val="32"/>
          <w:szCs w:val="32"/>
          <w:lang w:val="en-US" w:eastAsia="zh-CN"/>
        </w:rPr>
        <w:t>流程</w:t>
      </w:r>
    </w:p>
    <w:p w14:paraId="138ADD17">
      <w:pPr>
        <w:keepNext w:val="0"/>
        <w:keepLines w:val="0"/>
        <w:pageBreakBefore w:val="0"/>
        <w:widowControl w:val="0"/>
        <w:kinsoku/>
        <w:wordWrap/>
        <w:overflowPunct/>
        <w:topLinePunct w:val="0"/>
        <w:autoSpaceDE/>
        <w:autoSpaceDN/>
        <w:bidi w:val="0"/>
        <w:adjustRightInd/>
        <w:snapToGrid/>
        <w:spacing w:line="560" w:lineRule="exact"/>
        <w:ind w:left="20" w:right="400" w:firstLine="680"/>
        <w:jc w:val="both"/>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1.</w:t>
      </w:r>
      <w:r>
        <w:rPr>
          <w:rFonts w:hint="eastAsia" w:ascii="仿宋_GB2312" w:hAnsi="仿宋_GB2312" w:eastAsia="仿宋_GB2312" w:cs="仿宋_GB2312"/>
          <w:color w:val="000000"/>
          <w:sz w:val="32"/>
          <w:szCs w:val="32"/>
        </w:rPr>
        <w:t>具体工作流程</w:t>
      </w:r>
    </w:p>
    <w:p w14:paraId="5FDFB99C">
      <w:pPr>
        <w:keepNext w:val="0"/>
        <w:keepLines w:val="0"/>
        <w:pageBreakBefore w:val="0"/>
        <w:widowControl w:val="0"/>
        <w:kinsoku/>
        <w:wordWrap/>
        <w:overflowPunct/>
        <w:topLinePunct w:val="0"/>
        <w:autoSpaceDE/>
        <w:autoSpaceDN/>
        <w:bidi w:val="0"/>
        <w:adjustRightInd/>
        <w:snapToGrid/>
        <w:spacing w:line="560" w:lineRule="exact"/>
        <w:ind w:left="20" w:right="400" w:firstLine="68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lang w:val="en-US" w:eastAsia="zh-CN"/>
        </w:rPr>
        <w:t>报废农机主体</w:t>
      </w:r>
      <w:r>
        <w:rPr>
          <w:rFonts w:hint="eastAsia" w:ascii="仿宋_GB2312" w:hAnsi="仿宋_GB2312" w:eastAsia="仿宋_GB2312" w:cs="仿宋_GB2312"/>
          <w:color w:val="000000"/>
          <w:sz w:val="32"/>
          <w:szCs w:val="32"/>
        </w:rPr>
        <w:t>申请→</w:t>
      </w:r>
      <w:r>
        <w:rPr>
          <w:rFonts w:hint="eastAsia" w:ascii="仿宋_GB2312" w:hAnsi="仿宋_GB2312" w:eastAsia="仿宋_GB2312" w:cs="仿宋_GB2312"/>
          <w:color w:val="000000"/>
          <w:sz w:val="32"/>
          <w:szCs w:val="32"/>
          <w:lang w:val="en-US" w:eastAsia="zh-CN"/>
        </w:rPr>
        <w:t>报废企业提供报废确认表</w:t>
      </w:r>
      <w:r>
        <w:rPr>
          <w:rFonts w:hint="eastAsia" w:ascii="仿宋_GB2312" w:hAnsi="仿宋_GB2312" w:eastAsia="仿宋_GB2312" w:cs="仿宋_GB2312"/>
          <w:color w:val="000000"/>
          <w:sz w:val="32"/>
          <w:szCs w:val="32"/>
        </w:rPr>
        <w:t>→街镇农机主管部门受理→街镇农机主管部门</w:t>
      </w:r>
      <w:r>
        <w:rPr>
          <w:rFonts w:hint="eastAsia" w:ascii="仿宋_GB2312" w:hAnsi="仿宋_GB2312" w:eastAsia="仿宋_GB2312" w:cs="仿宋_GB2312"/>
          <w:color w:val="000000"/>
          <w:sz w:val="32"/>
          <w:szCs w:val="32"/>
          <w:lang w:val="en-US" w:eastAsia="zh-CN"/>
        </w:rPr>
        <w:t>对报废企业提供</w:t>
      </w:r>
      <w:r>
        <w:rPr>
          <w:rFonts w:hint="eastAsia" w:ascii="仿宋_GB2312" w:hAnsi="仿宋_GB2312" w:eastAsia="仿宋_GB2312" w:cs="仿宋_GB2312"/>
          <w:color w:val="000000"/>
          <w:sz w:val="32"/>
          <w:szCs w:val="32"/>
        </w:rPr>
        <w:t>补贴对象</w:t>
      </w:r>
      <w:r>
        <w:rPr>
          <w:rFonts w:hint="eastAsia" w:ascii="仿宋_GB2312" w:hAnsi="仿宋_GB2312" w:eastAsia="仿宋_GB2312" w:cs="仿宋_GB2312"/>
          <w:color w:val="000000"/>
          <w:sz w:val="32"/>
          <w:szCs w:val="32"/>
          <w:lang w:val="en-US" w:eastAsia="zh-CN"/>
        </w:rPr>
        <w:t>资料</w:t>
      </w:r>
      <w:r>
        <w:rPr>
          <w:rFonts w:hint="eastAsia" w:ascii="仿宋_GB2312" w:hAnsi="仿宋_GB2312" w:eastAsia="仿宋_GB2312" w:cs="仿宋_GB2312"/>
          <w:color w:val="000000"/>
          <w:sz w:val="32"/>
          <w:szCs w:val="32"/>
        </w:rPr>
        <w:t>核查</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机具、人机合影等→街镇农机主管部门将</w:t>
      </w:r>
      <w:r>
        <w:rPr>
          <w:rFonts w:hint="eastAsia" w:ascii="仿宋_GB2312" w:hAnsi="仿宋_GB2312" w:eastAsia="仿宋_GB2312" w:cs="仿宋_GB2312"/>
          <w:color w:val="000000"/>
          <w:sz w:val="32"/>
          <w:szCs w:val="32"/>
          <w:lang w:val="en-US" w:eastAsia="zh-CN"/>
        </w:rPr>
        <w:t>盖章报废确认表导入报废</w:t>
      </w:r>
      <w:r>
        <w:rPr>
          <w:rFonts w:hint="eastAsia" w:ascii="仿宋_GB2312" w:hAnsi="仿宋_GB2312" w:eastAsia="仿宋_GB2312" w:cs="仿宋_GB2312"/>
          <w:color w:val="000000"/>
          <w:sz w:val="32"/>
          <w:szCs w:val="32"/>
        </w:rPr>
        <w:t>管理系统、归档材料→街镇农机主管部门公示信息→街镇农机主管部门</w:t>
      </w:r>
      <w:r>
        <w:rPr>
          <w:rFonts w:hint="eastAsia" w:ascii="仿宋_GB2312" w:hAnsi="仿宋_GB2312" w:eastAsia="仿宋_GB2312" w:cs="仿宋_GB2312"/>
          <w:color w:val="000000"/>
          <w:sz w:val="32"/>
          <w:szCs w:val="32"/>
          <w:lang w:val="en-US" w:eastAsia="zh-CN"/>
        </w:rPr>
        <w:t>提出申请</w:t>
      </w:r>
      <w:r>
        <w:rPr>
          <w:rFonts w:hint="eastAsia" w:ascii="仿宋_GB2312" w:hAnsi="仿宋_GB2312" w:eastAsia="仿宋_GB2312" w:cs="仿宋_GB2312"/>
          <w:color w:val="000000"/>
          <w:sz w:val="32"/>
          <w:szCs w:val="32"/>
        </w:rPr>
        <w:t>→街镇财政所确认</w:t>
      </w:r>
      <w:r>
        <w:rPr>
          <w:rFonts w:hint="eastAsia" w:ascii="仿宋_GB2312" w:hAnsi="仿宋_GB2312" w:eastAsia="仿宋_GB2312" w:cs="仿宋_GB2312"/>
          <w:color w:val="000000"/>
          <w:sz w:val="32"/>
          <w:szCs w:val="32"/>
          <w:lang w:val="en-US" w:eastAsia="zh-CN"/>
        </w:rPr>
        <w:t>申请</w:t>
      </w:r>
      <w:r>
        <w:rPr>
          <w:rFonts w:hint="eastAsia" w:ascii="仿宋_GB2312" w:hAnsi="仿宋_GB2312" w:eastAsia="仿宋_GB2312" w:cs="仿宋_GB2312"/>
          <w:color w:val="000000"/>
          <w:sz w:val="32"/>
          <w:szCs w:val="32"/>
        </w:rPr>
        <w:t>→街镇农机主管部门上报</w:t>
      </w:r>
      <w:r>
        <w:rPr>
          <w:rFonts w:hint="eastAsia" w:ascii="仿宋_GB2312" w:hAnsi="仿宋_GB2312" w:eastAsia="仿宋_GB2312" w:cs="仿宋_GB2312"/>
          <w:color w:val="000000"/>
          <w:sz w:val="32"/>
          <w:szCs w:val="32"/>
          <w:lang w:val="en-US" w:eastAsia="zh-CN"/>
        </w:rPr>
        <w:t>申请名单清册</w:t>
      </w:r>
      <w:r>
        <w:rPr>
          <w:rFonts w:hint="eastAsia" w:ascii="仿宋_GB2312" w:hAnsi="仿宋_GB2312" w:eastAsia="仿宋_GB2312" w:cs="仿宋_GB2312"/>
          <w:color w:val="000000"/>
          <w:sz w:val="32"/>
          <w:szCs w:val="32"/>
        </w:rPr>
        <w:t>→区农业农村局审核材料→区农业农村局公示信息→区农业农村局报送结算审核意见→区财政局复核材料、兑付资金。相关主体的具体工作职责：</w:t>
      </w:r>
    </w:p>
    <w:p w14:paraId="2F297DF5">
      <w:pPr>
        <w:keepNext w:val="0"/>
        <w:keepLines w:val="0"/>
        <w:pageBreakBefore w:val="0"/>
        <w:widowControl w:val="0"/>
        <w:kinsoku/>
        <w:wordWrap/>
        <w:overflowPunct/>
        <w:topLinePunct w:val="0"/>
        <w:autoSpaceDE/>
        <w:autoSpaceDN/>
        <w:bidi w:val="0"/>
        <w:adjustRightInd/>
        <w:snapToGrid/>
        <w:spacing w:line="560" w:lineRule="exact"/>
        <w:ind w:left="20" w:right="220" w:firstLine="700"/>
        <w:jc w:val="both"/>
        <w:textAlignment w:val="auto"/>
        <w:rPr>
          <w:rFonts w:hint="eastAsia" w:ascii="仿宋_GB2312" w:hAnsi="仿宋_GB2312" w:eastAsia="仿宋_GB2312" w:cs="仿宋_GB2312"/>
          <w:color w:val="000000"/>
          <w:sz w:val="32"/>
          <w:szCs w:val="32"/>
          <w:lang w:val="en-US" w:eastAsia="zh-CN"/>
        </w:rPr>
      </w:pPr>
      <w:r>
        <w:rPr>
          <w:rFonts w:hint="default" w:ascii="仿宋_GB2312" w:hAnsi="仿宋_GB2312" w:eastAsia="仿宋_GB2312" w:cs="仿宋_GB2312"/>
          <w:sz w:val="32"/>
          <w:szCs w:val="32"/>
          <w:lang w:val="en-US"/>
        </w:rPr>
        <mc:AlternateContent>
          <mc:Choice Requires="wps">
            <w:drawing>
              <wp:anchor distT="0" distB="0" distL="114300" distR="114300" simplePos="0" relativeHeight="251660288" behindDoc="0" locked="0" layoutInCell="1" allowOverlap="1">
                <wp:simplePos x="0" y="0"/>
                <wp:positionH relativeFrom="page">
                  <wp:posOffset>666750</wp:posOffset>
                </wp:positionH>
                <wp:positionV relativeFrom="page">
                  <wp:posOffset>6288405</wp:posOffset>
                </wp:positionV>
                <wp:extent cx="5359400" cy="1117600"/>
                <wp:effectExtent l="0" t="0" r="0" b="0"/>
                <wp:wrapNone/>
                <wp:docPr id="12" name="文本框 2"/>
                <wp:cNvGraphicFramePr/>
                <a:graphic xmlns:a="http://schemas.openxmlformats.org/drawingml/2006/main">
                  <a:graphicData uri="http://schemas.microsoft.com/office/word/2010/wordprocessingShape">
                    <wps:wsp>
                      <wps:cNvSpPr txBox="1"/>
                      <wps:spPr>
                        <a:xfrm>
                          <a:off x="1601470" y="2139315"/>
                          <a:ext cx="2132965" cy="337629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ECB7EE">
                            <w:pPr>
                              <w:spacing w:line="340" w:lineRule="auto"/>
                              <w:jc w:val="both"/>
                              <w:rPr>
                                <w:sz w:val="31"/>
                              </w:rPr>
                            </w:pPr>
                          </w:p>
                        </w:txbxContent>
                      </wps:txbx>
                      <wps:bodyPr wrap="none" lIns="25400" tIns="0" rIns="25400" bIns="0">
                        <a:spAutoFit/>
                      </wps:bodyPr>
                    </wps:wsp>
                  </a:graphicData>
                </a:graphic>
              </wp:anchor>
            </w:drawing>
          </mc:Choice>
          <mc:Fallback>
            <w:pict>
              <v:shape id="文本框 2" o:spid="_x0000_s1026" o:spt="202" type="#_x0000_t202" style="position:absolute;left:0pt;margin-left:52.5pt;margin-top:495.15pt;height:88pt;width:422pt;mso-position-horizontal-relative:page;mso-position-vertical-relative:page;mso-wrap-style:none;z-index:251660288;mso-width-relative:page;mso-height-relative:page;" filled="f" stroked="f" coordsize="21600,21600" o:gfxdata="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A00RBE2QAAAAwB&#10;AAAPAAAAAAAAAAEAIAAAACIAAABkcnMvZG93bnJldi54bWxQSwECFAAUAAAACACHTuJA3CMTieEB&#10;AACrAwAADgAAAAAAAAABACAAAAAoAQAAZHJzL2Uyb0RvYy54bWxQSwUGAAAAAAYABgBZAQAAewUA&#10;AAAA&#10;">
                <v:fill on="f" focussize="0,0"/>
                <v:stroke on="f" weight="0.5pt"/>
                <v:imagedata o:title=""/>
                <o:lock v:ext="edit" aspectratio="f"/>
                <v:textbox inset="2pt,0mm,2pt,0mm" style="mso-fit-shape-to-text:t;">
                  <w:txbxContent>
                    <w:p w14:paraId="2DECB7EE">
                      <w:pPr>
                        <w:spacing w:line="340" w:lineRule="auto"/>
                        <w:jc w:val="both"/>
                        <w:rPr>
                          <w:sz w:val="31"/>
                        </w:rPr>
                      </w:pPr>
                    </w:p>
                  </w:txbxContent>
                </v:textbox>
              </v:shape>
            </w:pict>
          </mc:Fallback>
        </mc:AlternateContent>
      </w:r>
      <w:r>
        <w:rPr>
          <w:rFonts w:hint="eastAsia" w:ascii="仿宋_GB2312" w:hAnsi="仿宋_GB2312" w:eastAsia="仿宋_GB2312" w:cs="仿宋_GB2312"/>
          <w:sz w:val="32"/>
          <w:szCs w:val="32"/>
          <w:lang w:val="en-US" w:eastAsia="zh-CN"/>
        </w:rPr>
        <w:t>报废企业</w:t>
      </w:r>
      <w:r>
        <w:rPr>
          <w:rFonts w:hint="eastAsia" w:ascii="仿宋_GB2312" w:hAnsi="仿宋_GB2312" w:eastAsia="仿宋_GB2312" w:cs="仿宋_GB2312"/>
          <w:color w:val="000000"/>
          <w:sz w:val="32"/>
          <w:szCs w:val="32"/>
        </w:rPr>
        <w:t>：提供</w:t>
      </w:r>
      <w:r>
        <w:rPr>
          <w:rFonts w:hint="eastAsia" w:ascii="仿宋_GB2312" w:hAnsi="仿宋_GB2312" w:eastAsia="仿宋_GB2312" w:cs="仿宋_GB2312"/>
          <w:color w:val="000000"/>
          <w:sz w:val="32"/>
          <w:szCs w:val="32"/>
          <w:lang w:val="en-US" w:eastAsia="zh-CN"/>
        </w:rPr>
        <w:t>申报主体报废确认表、提前报废申请书、机具来源承诺书等资料</w:t>
      </w:r>
      <w:r>
        <w:rPr>
          <w:rFonts w:hint="eastAsia" w:ascii="仿宋_GB2312" w:hAnsi="仿宋_GB2312" w:eastAsia="仿宋_GB2312" w:cs="仿宋_GB2312"/>
          <w:color w:val="000000"/>
          <w:sz w:val="32"/>
          <w:szCs w:val="32"/>
        </w:rPr>
        <w:t>给街镇农机</w:t>
      </w:r>
      <w:r>
        <w:rPr>
          <w:rFonts w:hint="eastAsia" w:ascii="仿宋_GB2312" w:hAnsi="仿宋_GB2312" w:eastAsia="仿宋_GB2312" w:cs="仿宋_GB2312"/>
          <w:color w:val="000000"/>
          <w:sz w:val="32"/>
          <w:szCs w:val="32"/>
          <w:lang w:val="en-US" w:eastAsia="zh-CN"/>
        </w:rPr>
        <w:t>主管部门，确认受理意见；</w:t>
      </w:r>
    </w:p>
    <w:p w14:paraId="4A62C734">
      <w:pPr>
        <w:keepNext w:val="0"/>
        <w:keepLines w:val="0"/>
        <w:pageBreakBefore w:val="0"/>
        <w:widowControl w:val="0"/>
        <w:kinsoku/>
        <w:wordWrap/>
        <w:overflowPunct/>
        <w:topLinePunct w:val="0"/>
        <w:autoSpaceDE/>
        <w:autoSpaceDN/>
        <w:bidi w:val="0"/>
        <w:adjustRightInd/>
        <w:snapToGrid/>
        <w:spacing w:line="560" w:lineRule="exact"/>
        <w:ind w:left="20" w:right="220" w:firstLine="700"/>
        <w:jc w:val="both"/>
        <w:textAlignment w:val="auto"/>
        <w:rPr>
          <w:rFonts w:hint="eastAsia" w:ascii="方正小标宋_GBK" w:hAnsi="方正小标宋_GBK" w:eastAsia="方正小标宋_GBK" w:cs="方正小标宋_GBK"/>
          <w:color w:val="000000" w:themeColor="text1"/>
          <w:spacing w:val="8"/>
          <w:sz w:val="44"/>
          <w:szCs w:val="44"/>
          <w:lang w:val="en-US" w:eastAsia="zh-CN"/>
          <w14:textFill>
            <w14:solidFill>
              <w14:schemeClr w14:val="tx1"/>
            </w14:solidFill>
          </w14:textFill>
        </w:rPr>
      </w:pPr>
      <w:r>
        <w:rPr>
          <w:rFonts w:hint="eastAsia" w:ascii="仿宋_GB2312" w:hAnsi="仿宋_GB2312" w:eastAsia="仿宋_GB2312" w:cs="仿宋_GB2312"/>
          <w:color w:val="000000"/>
          <w:sz w:val="32"/>
          <w:szCs w:val="32"/>
          <w:lang w:val="en-US" w:eastAsia="zh-CN"/>
        </w:rPr>
        <w:t>街镇农机部门：对购机者提供的补贴申请资料进行逐一核对，并出具受理或不予受理通知，及时上报补贴对象审核、违规经营等方面情况。</w:t>
      </w:r>
    </w:p>
    <w:p w14:paraId="0513C7ED">
      <w:pPr>
        <w:keepNext w:val="0"/>
        <w:keepLines w:val="0"/>
        <w:pageBreakBefore w:val="0"/>
        <w:widowControl w:val="0"/>
        <w:kinsoku/>
        <w:wordWrap/>
        <w:overflowPunct/>
        <w:topLinePunct w:val="0"/>
        <w:autoSpaceDE/>
        <w:autoSpaceDN/>
        <w:bidi w:val="0"/>
        <w:adjustRightInd/>
        <w:snapToGrid/>
        <w:spacing w:line="560" w:lineRule="exact"/>
        <w:ind w:left="3" w:right="7" w:firstLine="623"/>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三、异常情形处理办法</w:t>
      </w:r>
    </w:p>
    <w:p w14:paraId="04F4A130">
      <w:pPr>
        <w:keepNext w:val="0"/>
        <w:keepLines w:val="0"/>
        <w:pageBreakBefore w:val="0"/>
        <w:widowControl w:val="0"/>
        <w:kinsoku/>
        <w:wordWrap/>
        <w:overflowPunct/>
        <w:topLinePunct w:val="0"/>
        <w:autoSpaceDE/>
        <w:autoSpaceDN/>
        <w:bidi w:val="0"/>
        <w:adjustRightInd/>
        <w:snapToGrid/>
        <w:spacing w:line="560" w:lineRule="exact"/>
        <w:ind w:left="3" w:right="7" w:firstLine="623"/>
        <w:textAlignment w:val="auto"/>
        <w:rPr>
          <w:rFonts w:hint="eastAsia" w:ascii="方正小标宋_GBK" w:hAnsi="方正小标宋_GBK" w:eastAsia="方正小标宋_GBK" w:cs="方正小标宋_GBK"/>
          <w:color w:val="000000" w:themeColor="text1"/>
          <w:spacing w:val="8"/>
          <w:sz w:val="44"/>
          <w:szCs w:val="44"/>
          <w:lang w:val="en-US" w:eastAsia="zh-CN"/>
          <w14:textFill>
            <w14:solidFill>
              <w14:schemeClr w14:val="tx1"/>
            </w14:solidFill>
          </w14:textFill>
        </w:rPr>
        <w:sectPr>
          <w:footerReference r:id="rId4" w:type="default"/>
          <w:pgSz w:w="11906" w:h="16839"/>
          <w:pgMar w:top="1431" w:right="1491" w:bottom="1567" w:left="1607" w:header="0" w:footer="1318" w:gutter="0"/>
          <w:pgNumType w:fmt="decimal" w:start="5"/>
          <w:cols w:space="720" w:num="1"/>
        </w:sectPr>
      </w:pPr>
      <w:r>
        <w:rPr>
          <w:rFonts w:hint="eastAsia" w:ascii="仿宋_GB2312" w:hAnsi="仿宋_GB2312" w:eastAsia="仿宋_GB2312" w:cs="仿宋_GB2312"/>
          <w:sz w:val="32"/>
          <w:szCs w:val="32"/>
          <w:lang w:val="en-US" w:eastAsia="zh-CN"/>
        </w:rPr>
        <w:t>各街镇有关部门按照各自职责加强对农机报废更新补贴工作的监管。对无牌证和未纳入牌证管理的农机严格监管，严查虚假报补等骗套补贴紫金的违规行为，严惩违规主体。发现回收企业存在违规行为以及弄虚作假套取国家补贴紫金的企业、个人和农业生产经营组织及时报告区农业农村局。</w:t>
      </w:r>
    </w:p>
    <w:p w14:paraId="242088FA">
      <w:pPr>
        <w:keepNext w:val="0"/>
        <w:keepLines w:val="0"/>
        <w:pageBreakBefore w:val="0"/>
        <w:widowControl w:val="0"/>
        <w:kinsoku/>
        <w:wordWrap/>
        <w:overflowPunct/>
        <w:topLinePunct w:val="0"/>
        <w:autoSpaceDE/>
        <w:autoSpaceDN/>
        <w:bidi w:val="0"/>
        <w:adjustRightInd/>
        <w:snapToGrid/>
        <w:spacing w:before="177" w:line="560" w:lineRule="exact"/>
        <w:ind w:right="79"/>
        <w:textAlignment w:val="auto"/>
        <w:rPr>
          <w:rFonts w:hint="default" w:ascii="仿宋" w:hAnsi="仿宋" w:eastAsia="仿宋" w:cs="仿宋"/>
          <w:spacing w:val="-3"/>
          <w:sz w:val="31"/>
          <w:szCs w:val="31"/>
          <w:lang w:val="en-US" w:eastAsia="zh-CN"/>
        </w:rPr>
        <w:sectPr>
          <w:footerReference r:id="rId5" w:type="default"/>
          <w:pgSz w:w="11906" w:h="16839"/>
          <w:pgMar w:top="1431" w:right="1491" w:bottom="1567" w:left="1607" w:header="0" w:footer="1318" w:gutter="0"/>
          <w:pgNumType w:fmt="decimal"/>
          <w:cols w:space="720" w:num="1"/>
        </w:sectPr>
      </w:pPr>
    </w:p>
    <w:p w14:paraId="288F42AF">
      <w:pPr>
        <w:pStyle w:val="7"/>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_GB2312" w:hAnsi="仿宋_GB2312" w:eastAsia="仿宋_GB2312" w:cs="仿宋_GB2312"/>
          <w:sz w:val="32"/>
          <w:szCs w:val="32"/>
        </w:rPr>
      </w:pPr>
    </w:p>
    <w:p w14:paraId="729C6E95">
      <w:pPr>
        <w:pStyle w:val="7"/>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_GB2312" w:hAnsi="仿宋_GB2312" w:eastAsia="仿宋_GB2312" w:cs="仿宋_GB2312"/>
          <w:sz w:val="32"/>
          <w:szCs w:val="32"/>
          <w:lang w:val="en-US" w:eastAsia="zh-CN"/>
        </w:rPr>
      </w:pPr>
    </w:p>
    <w:p w14:paraId="659FE082">
      <w:pPr>
        <w:pStyle w:val="7"/>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p>
    <w:p w14:paraId="69E7B871">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default" w:ascii="仿宋_GB2312" w:hAnsi="仿宋_GB2312" w:eastAsia="仿宋_GB2312" w:cs="仿宋_GB2312"/>
          <w:color w:val="auto"/>
          <w:sz w:val="32"/>
          <w:szCs w:val="32"/>
          <w:lang w:val="en-US" w:eastAsia="zh-CN"/>
        </w:rPr>
      </w:pPr>
    </w:p>
    <w:p w14:paraId="0901B3CE">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eastAsia="zh-CN"/>
        </w:rPr>
        <w:t>　　　　　　　　　　　　</w:t>
      </w:r>
    </w:p>
    <w:p w14:paraId="4BBA62A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color w:val="auto"/>
          <w:sz w:val="32"/>
          <w:szCs w:val="32"/>
          <w:lang w:eastAsia="zh-CN"/>
        </w:rPr>
      </w:pPr>
    </w:p>
    <w:p w14:paraId="62DD7422">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 w:cs="Times New Roman"/>
          <w:color w:val="auto"/>
          <w:sz w:val="32"/>
          <w:szCs w:val="32"/>
          <w:lang w:eastAsia="zh-CN"/>
        </w:rPr>
      </w:pPr>
      <w:r>
        <w:rPr>
          <w:rFonts w:hint="default" w:ascii="Times New Roman" w:hAnsi="Times New Roman" w:eastAsia="仿宋" w:cs="Times New Roman"/>
          <w:color w:val="auto"/>
          <w:sz w:val="32"/>
          <w:szCs w:val="32"/>
          <w:lang w:eastAsia="zh-CN"/>
        </w:rPr>
        <w:t>　　　　　　</w:t>
      </w:r>
    </w:p>
    <w:p w14:paraId="7697C1AB">
      <w:pPr>
        <w:keepNext w:val="0"/>
        <w:keepLines w:val="0"/>
        <w:pageBreakBefore w:val="0"/>
        <w:widowControl w:val="0"/>
        <w:kinsoku/>
        <w:wordWrap/>
        <w:overflowPunct/>
        <w:topLinePunct w:val="0"/>
        <w:autoSpaceDE/>
        <w:autoSpaceDN/>
        <w:bidi w:val="0"/>
        <w:adjustRightInd/>
        <w:snapToGrid/>
        <w:spacing w:line="560" w:lineRule="exact"/>
        <w:ind w:firstLine="4160" w:firstLineChars="1300"/>
        <w:textAlignment w:val="auto"/>
        <w:rPr>
          <w:rFonts w:hint="default" w:ascii="Times New Roman" w:hAnsi="Times New Roman" w:eastAsia="仿宋" w:cs="Times New Roman"/>
          <w:color w:val="auto"/>
          <w:sz w:val="32"/>
          <w:szCs w:val="32"/>
        </w:rPr>
      </w:pPr>
    </w:p>
    <w:sectPr>
      <w:pgSz w:w="11906" w:h="16838"/>
      <w:pgMar w:top="1440" w:right="1474" w:bottom="1440" w:left="1474"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华文新魏">
    <w:panose1 w:val="02010800040101010101"/>
    <w:charset w:val="86"/>
    <w:family w:val="auto"/>
    <w:pitch w:val="default"/>
    <w:sig w:usb0="00000001" w:usb1="080F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华文宋体">
    <w:panose1 w:val="02010600040101010101"/>
    <w:charset w:val="86"/>
    <w:family w:val="auto"/>
    <w:pitch w:val="default"/>
    <w:sig w:usb0="00000287" w:usb1="080F0000" w:usb2="00000000" w:usb3="00000000" w:csb0="0004009F" w:csb1="DFD70000"/>
  </w:font>
  <w:font w:name="方正黑体简体">
    <w:panose1 w:val="03000509000000000000"/>
    <w:charset w:val="86"/>
    <w:family w:val="auto"/>
    <w:pitch w:val="default"/>
    <w:sig w:usb0="00000001" w:usb1="080E0000" w:usb2="00000000" w:usb3="00000000" w:csb0="00040000" w:csb1="00000000"/>
  </w:font>
  <w:font w:name="Cambria">
    <w:panose1 w:val="02040503050406030204"/>
    <w:charset w:val="00"/>
    <w:family w:val="auto"/>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35738B">
    <w:pPr>
      <w:spacing w:line="178" w:lineRule="auto"/>
      <w:ind w:left="7870"/>
      <w:rPr>
        <w:rFonts w:ascii="Times New Roman" w:hAnsi="Times New Roman" w:eastAsia="Times New Roman" w:cs="Times New Roman"/>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48BB78A4">
                          <w:pPr>
                            <w:pStyle w:val="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14:paraId="48BB78A4">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538E5B">
    <w:pPr>
      <w:spacing w:line="178" w:lineRule="auto"/>
      <w:ind w:left="7870"/>
      <w:rPr>
        <w:rFonts w:ascii="Times New Roman" w:hAnsi="Times New Roman" w:eastAsia="Times New Roman" w:cs="Times New Roman"/>
        <w:sz w:val="28"/>
        <w:szCs w:val="28"/>
      </w:rPr>
    </w:pPr>
    <w:r>
      <w:rPr>
        <w:sz w:val="2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49F34D8">
                          <w:pPr>
                            <w:pStyle w:val="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349F34D8">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88D541">
    <w:pPr>
      <w:spacing w:line="178" w:lineRule="auto"/>
      <w:ind w:left="7870"/>
      <w:rPr>
        <w:rFonts w:ascii="Times New Roman" w:hAnsi="Times New Roman" w:eastAsia="Times New Roman" w:cs="Times New Roman"/>
        <w:sz w:val="28"/>
        <w:szCs w:val="28"/>
      </w:rPr>
    </w:pPr>
    <w:r>
      <w:rPr>
        <w:sz w:val="2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148348B4">
                          <w:pPr>
                            <w:pStyle w:val="5"/>
                          </w:pPr>
                          <w:r>
                            <w:fldChar w:fldCharType="begin"/>
                          </w:r>
                          <w:r>
                            <w:instrText xml:space="preserve"> PAGE  \* MERGEFORMAT </w:instrText>
                          </w:r>
                          <w:r>
                            <w:fldChar w:fldCharType="separate"/>
                          </w:r>
                          <w:r>
                            <w:t>7</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fyKa93AIAACQGAAAOAAAAAAAAAAEAIAAAAB8BAABkcnMvZTJvRG9jLnhtbFBLBQYA&#10;AAAABgAGAFkBAABtBgAAAAA=&#10;">
              <v:fill on="f" focussize="0,0"/>
              <v:stroke on="f" weight="0.5pt"/>
              <v:imagedata o:title=""/>
              <o:lock v:ext="edit" aspectratio="f"/>
              <v:textbox inset="0mm,0mm,0mm,0mm" style="mso-fit-shape-to-text:t;">
                <w:txbxContent>
                  <w:p w14:paraId="148348B4">
                    <w:pPr>
                      <w:pStyle w:val="5"/>
                    </w:pPr>
                    <w:r>
                      <w:fldChar w:fldCharType="begin"/>
                    </w:r>
                    <w:r>
                      <w:instrText xml:space="preserve"> PAGE  \* MERGEFORMAT </w:instrText>
                    </w:r>
                    <w:r>
                      <w:fldChar w:fldCharType="separate"/>
                    </w:r>
                    <w:r>
                      <w:t>7</w:t>
                    </w:r>
                    <w:r>
                      <w:fldChar w:fldCharType="end"/>
                    </w:r>
                  </w:p>
                </w:txbxContent>
              </v:textbox>
            </v:shape>
          </w:pict>
        </mc:Fallback>
      </mc:AlternateContent>
    </w:r>
    <w:r>
      <w:rPr>
        <w:rFonts w:ascii="Times New Roman" w:hAnsi="Times New Roman" w:eastAsia="Times New Roman" w:cs="Times New Roman"/>
        <w:spacing w:val="-1"/>
        <w:sz w:val="28"/>
        <w:szCs w:val="28"/>
      </w:rPr>
      <w:t>—</w:t>
    </w:r>
    <w:r>
      <w:rPr>
        <w:rFonts w:ascii="Times New Roman" w:hAnsi="Times New Roman" w:eastAsia="Times New Roman" w:cs="Times New Roman"/>
        <w:spacing w:val="7"/>
        <w:sz w:val="28"/>
        <w:szCs w:val="28"/>
      </w:rPr>
      <w:t xml:space="preserve"> </w:t>
    </w:r>
    <w:r>
      <w:rPr>
        <w:rFonts w:ascii="Times New Roman" w:hAnsi="Times New Roman" w:eastAsia="Times New Roman" w:cs="Times New Roman"/>
        <w:spacing w:val="-1"/>
        <w:sz w:val="28"/>
        <w:szCs w:val="28"/>
      </w:rPr>
      <w:t>5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Q5ZjE0YmI4ZWM2NmQ2YmFiZmE0NDJiYTgzN2RiMDAifQ=="/>
  </w:docVars>
  <w:rsids>
    <w:rsidRoot w:val="00000000"/>
    <w:rsid w:val="054351E7"/>
    <w:rsid w:val="134D7EA2"/>
    <w:rsid w:val="27535435"/>
    <w:rsid w:val="38C34A4E"/>
    <w:rsid w:val="3C06601B"/>
    <w:rsid w:val="433B615B"/>
    <w:rsid w:val="57636C81"/>
    <w:rsid w:val="598F18F9"/>
    <w:rsid w:val="7B414B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99"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2"/>
      <w:lang w:val="en-US" w:eastAsia="zh-CN" w:bidi="ar-SA"/>
    </w:rPr>
  </w:style>
  <w:style w:type="paragraph" w:styleId="2">
    <w:name w:val="heading 4"/>
    <w:next w:val="1"/>
    <w:autoRedefine/>
    <w:qFormat/>
    <w:uiPriority w:val="0"/>
    <w:pPr>
      <w:ind w:left="1200" w:hanging="400"/>
      <w:jc w:val="both"/>
      <w:outlineLvl w:val="3"/>
    </w:pPr>
    <w:rPr>
      <w:rFonts w:ascii="Calibri" w:hAnsi="Calibri" w:eastAsia="仿宋_GB2312" w:cs="Times New Roman"/>
      <w:b/>
      <w:sz w:val="32"/>
      <w:szCs w:val="21"/>
      <w:lang w:val="en-US" w:eastAsia="zh-CN" w:bidi="ar-SA"/>
    </w:rPr>
  </w:style>
  <w:style w:type="character" w:default="1" w:styleId="10">
    <w:name w:val="Default Paragraph Font"/>
    <w:qFormat/>
    <w:uiPriority w:val="1"/>
  </w:style>
  <w:style w:type="table" w:default="1" w:styleId="8">
    <w:name w:val="Normal Table"/>
    <w:qFormat/>
    <w:uiPriority w:val="99"/>
    <w:tblPr>
      <w:tblCellMar>
        <w:top w:w="0" w:type="dxa"/>
        <w:left w:w="108" w:type="dxa"/>
        <w:bottom w:w="0" w:type="dxa"/>
        <w:right w:w="108" w:type="dxa"/>
      </w:tblCellMar>
    </w:tblPr>
  </w:style>
  <w:style w:type="paragraph" w:styleId="3">
    <w:name w:val="Body Text"/>
    <w:basedOn w:val="1"/>
    <w:next w:val="1"/>
    <w:autoRedefine/>
    <w:qFormat/>
    <w:uiPriority w:val="0"/>
    <w:pPr>
      <w:keepNext w:val="0"/>
      <w:keepLines w:val="0"/>
      <w:widowControl w:val="0"/>
      <w:suppressLineNumbers w:val="0"/>
      <w:spacing w:after="120" w:afterAutospacing="0"/>
      <w:jc w:val="both"/>
    </w:pPr>
    <w:rPr>
      <w:rFonts w:hint="default" w:ascii="Calibri" w:hAnsi="Calibri" w:eastAsia="宋体" w:cs="Times New Roman"/>
      <w:kern w:val="2"/>
      <w:sz w:val="21"/>
      <w:szCs w:val="21"/>
      <w:lang w:val="en-US" w:eastAsia="zh-CN"/>
    </w:rPr>
  </w:style>
  <w:style w:type="paragraph" w:styleId="4">
    <w:name w:val="Date"/>
    <w:basedOn w:val="1"/>
    <w:next w:val="1"/>
    <w:link w:val="17"/>
    <w:autoRedefine/>
    <w:qFormat/>
    <w:uiPriority w:val="99"/>
    <w:pPr>
      <w:ind w:left="100" w:leftChars="2500"/>
    </w:pPr>
  </w:style>
  <w:style w:type="paragraph" w:styleId="5">
    <w:name w:val="footer"/>
    <w:basedOn w:val="1"/>
    <w:link w:val="16"/>
    <w:autoRedefine/>
    <w:qFormat/>
    <w:uiPriority w:val="99"/>
    <w:pPr>
      <w:tabs>
        <w:tab w:val="center" w:pos="4153"/>
        <w:tab w:val="right" w:pos="8306"/>
      </w:tabs>
      <w:snapToGrid w:val="0"/>
      <w:jc w:val="left"/>
    </w:pPr>
    <w:rPr>
      <w:sz w:val="18"/>
      <w:szCs w:val="18"/>
    </w:rPr>
  </w:style>
  <w:style w:type="paragraph" w:styleId="6">
    <w:name w:val="header"/>
    <w:basedOn w:val="1"/>
    <w:link w:val="15"/>
    <w:autoRedefine/>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spacing w:before="100" w:beforeAutospacing="1" w:after="100" w:afterAutospacing="1"/>
      <w:ind w:left="0" w:right="0"/>
      <w:jc w:val="left"/>
    </w:pPr>
    <w:rPr>
      <w:kern w:val="0"/>
      <w:sz w:val="24"/>
      <w:lang w:val="en-US" w:eastAsia="zh-CN" w:bidi="ar"/>
    </w:rPr>
  </w:style>
  <w:style w:type="table" w:styleId="9">
    <w:name w:val="Table Grid"/>
    <w:basedOn w:val="8"/>
    <w:autoRedefine/>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Strong"/>
    <w:basedOn w:val="10"/>
    <w:qFormat/>
    <w:uiPriority w:val="0"/>
    <w:rPr>
      <w:b/>
    </w:rPr>
  </w:style>
  <w:style w:type="character" w:customStyle="1" w:styleId="12">
    <w:name w:val="bold:true"/>
    <w:basedOn w:val="10"/>
    <w:autoRedefine/>
    <w:qFormat/>
    <w:uiPriority w:val="0"/>
  </w:style>
  <w:style w:type="character" w:customStyle="1" w:styleId="13">
    <w:name w:val="font-family:宋体"/>
    <w:basedOn w:val="10"/>
    <w:autoRedefine/>
    <w:qFormat/>
    <w:uiPriority w:val="0"/>
  </w:style>
  <w:style w:type="character" w:customStyle="1" w:styleId="14">
    <w:name w:val="font-family:calibri"/>
    <w:basedOn w:val="10"/>
    <w:autoRedefine/>
    <w:qFormat/>
    <w:uiPriority w:val="0"/>
  </w:style>
  <w:style w:type="character" w:customStyle="1" w:styleId="15">
    <w:name w:val="页眉 Char"/>
    <w:basedOn w:val="10"/>
    <w:link w:val="6"/>
    <w:autoRedefine/>
    <w:qFormat/>
    <w:uiPriority w:val="99"/>
    <w:rPr>
      <w:sz w:val="18"/>
      <w:szCs w:val="18"/>
    </w:rPr>
  </w:style>
  <w:style w:type="character" w:customStyle="1" w:styleId="16">
    <w:name w:val="页脚 Char"/>
    <w:basedOn w:val="10"/>
    <w:link w:val="5"/>
    <w:autoRedefine/>
    <w:qFormat/>
    <w:uiPriority w:val="99"/>
    <w:rPr>
      <w:sz w:val="18"/>
      <w:szCs w:val="18"/>
    </w:rPr>
  </w:style>
  <w:style w:type="character" w:customStyle="1" w:styleId="17">
    <w:name w:val="日期 Char"/>
    <w:basedOn w:val="10"/>
    <w:link w:val="4"/>
    <w:autoRedefine/>
    <w:qFormat/>
    <w:uiPriority w:val="99"/>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951</Words>
  <Characters>972</Characters>
  <Paragraphs>33</Paragraphs>
  <TotalTime>23</TotalTime>
  <ScaleCrop>false</ScaleCrop>
  <LinksUpToDate>false</LinksUpToDate>
  <CharactersWithSpaces>1091</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2019-04-04T08:33:00Z</dcterms:created>
  <dc:creator>DEll</dc:creator>
  <cp:lastModifiedBy>dell</cp:lastModifiedBy>
  <cp:lastPrinted>2024-12-12T08:07:42Z</cp:lastPrinted>
  <dcterms:modified xsi:type="dcterms:W3CDTF">2024-12-12T08:08:15Z</dcterms:modified>
  <cp:revision>74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92A5184A87FE4DF4B802DB54722AAFEB_13</vt:lpwstr>
  </property>
</Properties>
</file>